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750DB" w14:textId="69BFEB10" w:rsidR="00565B03" w:rsidRPr="008116A4" w:rsidRDefault="00000926" w:rsidP="008116A4">
      <w:r w:rsidRPr="00490DCE">
        <w:rPr>
          <w:noProof/>
          <w:lang w:eastAsia="en-AU"/>
        </w:rPr>
        <w:drawing>
          <wp:inline distT="0" distB="0" distL="0" distR="0" wp14:anchorId="24112656" wp14:editId="2B1F45A7">
            <wp:extent cx="3082290" cy="626745"/>
            <wp:effectExtent l="0" t="0" r="3810" b="1905"/>
            <wp:docPr id="6" name="Picture 6" descr="Department of the Prime Minister and Cabinet&#10;Office of Best Practic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ice of Best Practice Regul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2290" cy="626745"/>
                    </a:xfrm>
                    <a:prstGeom prst="rect">
                      <a:avLst/>
                    </a:prstGeom>
                    <a:noFill/>
                    <a:ln>
                      <a:noFill/>
                    </a:ln>
                  </pic:spPr>
                </pic:pic>
              </a:graphicData>
            </a:graphic>
          </wp:inline>
        </w:drawing>
      </w:r>
    </w:p>
    <w:p w14:paraId="00F5A945" w14:textId="77777777" w:rsidR="00565B03" w:rsidRPr="00490DCE" w:rsidRDefault="00565B03" w:rsidP="00565B03">
      <w:pPr>
        <w:pStyle w:val="Heading1"/>
        <w:rPr>
          <w:rFonts w:cs="Arial"/>
        </w:rPr>
      </w:pPr>
      <w:r w:rsidRPr="00490DCE">
        <w:rPr>
          <w:rFonts w:cs="Arial"/>
        </w:rPr>
        <w:t xml:space="preserve">Best Practice </w:t>
      </w:r>
      <w:r w:rsidRPr="00490DCE">
        <w:rPr>
          <w:rFonts w:cs="Arial"/>
        </w:rPr>
        <w:br/>
        <w:t xml:space="preserve">Regulation Report </w:t>
      </w:r>
    </w:p>
    <w:p w14:paraId="14622092" w14:textId="02A9A506" w:rsidR="000A5CFA" w:rsidRPr="008116A4" w:rsidRDefault="00565B03" w:rsidP="008116A4">
      <w:pPr>
        <w:pStyle w:val="Heading1"/>
        <w:rPr>
          <w:rStyle w:val="bold"/>
          <w:rFonts w:ascii="Arial" w:hAnsi="Arial" w:cs="Arial"/>
          <w:sz w:val="44"/>
          <w:szCs w:val="44"/>
        </w:rPr>
      </w:pPr>
      <w:r w:rsidRPr="00490DCE">
        <w:rPr>
          <w:rFonts w:cs="Arial"/>
          <w:sz w:val="44"/>
          <w:szCs w:val="44"/>
        </w:rPr>
        <w:t>2012–13</w:t>
      </w:r>
    </w:p>
    <w:p w14:paraId="13884D3F" w14:textId="77777777" w:rsidR="000A5CFA" w:rsidRPr="00490DCE" w:rsidRDefault="00565B03" w:rsidP="00E229E6">
      <w:pPr>
        <w:rPr>
          <w:rStyle w:val="Strong"/>
          <w:rFonts w:cs="Arial"/>
        </w:rPr>
      </w:pPr>
      <w:r w:rsidRPr="00490DCE">
        <w:rPr>
          <w:rStyle w:val="Strong"/>
          <w:rFonts w:cs="Arial"/>
        </w:rPr>
        <w:br w:type="page"/>
      </w:r>
      <w:r w:rsidR="000A5CFA" w:rsidRPr="00490DCE">
        <w:rPr>
          <w:rStyle w:val="Strong"/>
          <w:rFonts w:cs="Arial"/>
        </w:rPr>
        <w:lastRenderedPageBreak/>
        <w:t xml:space="preserve">ISSN: 1837-6088 (Print) </w:t>
      </w:r>
      <w:r w:rsidR="000A5CFA" w:rsidRPr="00490DCE">
        <w:rPr>
          <w:rStyle w:val="Strong"/>
          <w:rFonts w:cs="Arial"/>
        </w:rPr>
        <w:br/>
        <w:t xml:space="preserve">ISSN: 1837-6096 (Online) </w:t>
      </w:r>
    </w:p>
    <w:p w14:paraId="6F0812F2" w14:textId="77777777" w:rsidR="000A5CFA" w:rsidRPr="00490DCE" w:rsidRDefault="000A5CFA" w:rsidP="00E229E6">
      <w:pPr>
        <w:rPr>
          <w:rFonts w:cs="Arial"/>
        </w:rPr>
      </w:pPr>
      <w:r w:rsidRPr="00490DCE">
        <w:rPr>
          <w:rFonts w:cs="Arial"/>
        </w:rPr>
        <w:t xml:space="preserve">With the exception of the Commonwealth Coat of Arms, this document is provided under a Creative Commons Attribution 3.0 Australia licence (http://creativecommons.org/licenses/by/3.0/au/). </w:t>
      </w:r>
    </w:p>
    <w:p w14:paraId="23CBBC6F" w14:textId="77777777" w:rsidR="000A5CFA" w:rsidRPr="00490DCE" w:rsidRDefault="000A5CFA" w:rsidP="00E229E6">
      <w:pPr>
        <w:rPr>
          <w:rFonts w:cs="Arial"/>
        </w:rPr>
      </w:pPr>
      <w:r w:rsidRPr="00490DCE">
        <w:rPr>
          <w:rFonts w:cs="Arial"/>
        </w:rPr>
        <w:t xml:space="preserve">This document must be attributed: “Office of Best Practice Regulation, Best Practice Regulation Report 2012–13, Department of the Prime Minister and Cabinet, Canberra”. </w:t>
      </w:r>
    </w:p>
    <w:p w14:paraId="5A08C52A" w14:textId="77777777" w:rsidR="000A5CFA" w:rsidRPr="00490DCE" w:rsidRDefault="000A5CFA" w:rsidP="00E229E6">
      <w:pPr>
        <w:rPr>
          <w:rFonts w:cs="Arial"/>
        </w:rPr>
      </w:pPr>
      <w:r w:rsidRPr="00490DCE">
        <w:rPr>
          <w:rStyle w:val="Strong"/>
          <w:rFonts w:cs="Arial"/>
        </w:rPr>
        <w:t>Publications and Creative Commons licence inquiries:</w:t>
      </w:r>
      <w:r w:rsidRPr="00490DCE">
        <w:rPr>
          <w:rStyle w:val="bold"/>
          <w:rFonts w:ascii="Arial" w:hAnsi="Arial" w:cs="Arial"/>
          <w:sz w:val="16"/>
          <w:szCs w:val="16"/>
        </w:rPr>
        <w:t xml:space="preserve"> </w:t>
      </w:r>
      <w:r w:rsidRPr="00490DCE">
        <w:rPr>
          <w:rStyle w:val="bold"/>
          <w:rFonts w:ascii="Arial" w:hAnsi="Arial" w:cs="Arial"/>
          <w:sz w:val="16"/>
          <w:szCs w:val="16"/>
        </w:rPr>
        <w:br/>
      </w:r>
      <w:r w:rsidRPr="00490DCE">
        <w:rPr>
          <w:rFonts w:cs="Arial"/>
        </w:rPr>
        <w:t xml:space="preserve">Office of Best Practice Regulation </w:t>
      </w:r>
      <w:r w:rsidRPr="00490DCE">
        <w:rPr>
          <w:rFonts w:cs="Arial"/>
        </w:rPr>
        <w:br/>
        <w:t xml:space="preserve">Domestic Policy Group </w:t>
      </w:r>
      <w:r w:rsidRPr="00490DCE">
        <w:rPr>
          <w:rFonts w:cs="Arial"/>
        </w:rPr>
        <w:br/>
        <w:t xml:space="preserve">Department of the Prime Minister and Cabinet </w:t>
      </w:r>
      <w:r w:rsidRPr="00490DCE">
        <w:rPr>
          <w:rFonts w:cs="Arial"/>
        </w:rPr>
        <w:br/>
        <w:t xml:space="preserve">Tel: 02 6271 6270 </w:t>
      </w:r>
      <w:r w:rsidRPr="00490DCE">
        <w:rPr>
          <w:rFonts w:cs="Arial"/>
        </w:rPr>
        <w:br/>
        <w:t xml:space="preserve">Fax: 02 6271 5252 </w:t>
      </w:r>
      <w:r w:rsidRPr="00490DCE">
        <w:rPr>
          <w:rFonts w:cs="Arial"/>
        </w:rPr>
        <w:br/>
        <w:t xml:space="preserve">Email: helpdesk-obpr@pmc.gov.au </w:t>
      </w:r>
      <w:r w:rsidRPr="00490DCE">
        <w:rPr>
          <w:rFonts w:cs="Arial"/>
        </w:rPr>
        <w:br/>
        <w:t xml:space="preserve">Web: </w:t>
      </w:r>
      <w:hyperlink r:id="rId10" w:history="1">
        <w:r w:rsidRPr="00490DCE">
          <w:rPr>
            <w:rFonts w:cs="Arial"/>
          </w:rPr>
          <w:t>http://www.dpmc.gov.au/deregulation/obpr/index.cfm</w:t>
        </w:r>
      </w:hyperlink>
      <w:r w:rsidRPr="00490DCE">
        <w:rPr>
          <w:rFonts w:cs="Arial"/>
        </w:rPr>
        <w:t xml:space="preserve"> </w:t>
      </w:r>
      <w:r w:rsidRPr="00490DCE">
        <w:rPr>
          <w:rFonts w:cs="Arial"/>
        </w:rPr>
        <w:br/>
        <w:t>Twitter: @OBPRGov</w:t>
      </w:r>
    </w:p>
    <w:p w14:paraId="1D80CA1B" w14:textId="77777777" w:rsidR="000A5CFA" w:rsidRPr="00490DCE" w:rsidRDefault="000A5CFA" w:rsidP="00E229E6">
      <w:pPr>
        <w:rPr>
          <w:rFonts w:cs="Arial"/>
        </w:rPr>
      </w:pPr>
      <w:r w:rsidRPr="00490DCE">
        <w:rPr>
          <w:rStyle w:val="Strong"/>
          <w:rFonts w:cs="Arial"/>
        </w:rPr>
        <w:t>Internet</w:t>
      </w:r>
      <w:r w:rsidRPr="00490DCE">
        <w:rPr>
          <w:rStyle w:val="bold"/>
          <w:rFonts w:ascii="Arial" w:hAnsi="Arial" w:cs="Arial"/>
          <w:sz w:val="16"/>
          <w:szCs w:val="16"/>
        </w:rPr>
        <w:t xml:space="preserve"> </w:t>
      </w:r>
      <w:r w:rsidRPr="00490DCE">
        <w:rPr>
          <w:rStyle w:val="bold"/>
          <w:rFonts w:ascii="Arial" w:hAnsi="Arial" w:cs="Arial"/>
          <w:sz w:val="16"/>
          <w:szCs w:val="16"/>
        </w:rPr>
        <w:br/>
      </w:r>
      <w:r w:rsidRPr="00490DCE">
        <w:rPr>
          <w:rFonts w:cs="Arial"/>
        </w:rPr>
        <w:t xml:space="preserve">This document is available online at: </w:t>
      </w:r>
      <w:hyperlink r:id="rId11" w:history="1">
        <w:r w:rsidRPr="00490DCE">
          <w:rPr>
            <w:rFonts w:cs="Arial"/>
          </w:rPr>
          <w:t>http://www.dpmc.gov.au/deregulation/obpr/reporting-publications/publications.cfm</w:t>
        </w:r>
      </w:hyperlink>
      <w:r w:rsidRPr="00490DCE">
        <w:rPr>
          <w:rFonts w:cs="Arial"/>
        </w:rPr>
        <w:t>.</w:t>
      </w:r>
    </w:p>
    <w:p w14:paraId="70D62C39" w14:textId="77777777" w:rsidR="000A5CFA" w:rsidRPr="00490DCE" w:rsidRDefault="000A5CFA" w:rsidP="00E229E6">
      <w:pPr>
        <w:rPr>
          <w:rFonts w:cs="Arial"/>
        </w:rPr>
      </w:pPr>
      <w:r w:rsidRPr="00490DCE">
        <w:rPr>
          <w:rStyle w:val="Strong"/>
          <w:rFonts w:cs="Arial"/>
        </w:rPr>
        <w:t>Use of the Coat of Arms</w:t>
      </w:r>
      <w:r w:rsidRPr="00490DCE">
        <w:rPr>
          <w:rStyle w:val="bold"/>
          <w:rFonts w:ascii="Arial" w:hAnsi="Arial" w:cs="Arial"/>
          <w:sz w:val="16"/>
          <w:szCs w:val="16"/>
        </w:rPr>
        <w:t xml:space="preserve"> </w:t>
      </w:r>
      <w:r w:rsidRPr="00490DCE">
        <w:rPr>
          <w:rStyle w:val="bold"/>
          <w:rFonts w:ascii="Arial" w:hAnsi="Arial" w:cs="Arial"/>
          <w:sz w:val="16"/>
          <w:szCs w:val="16"/>
        </w:rPr>
        <w:br/>
      </w:r>
      <w:proofErr w:type="gramStart"/>
      <w:r w:rsidRPr="00490DCE">
        <w:rPr>
          <w:rFonts w:cs="Arial"/>
        </w:rPr>
        <w:t>The</w:t>
      </w:r>
      <w:proofErr w:type="gramEnd"/>
      <w:r w:rsidRPr="00490DCE">
        <w:rPr>
          <w:rFonts w:cs="Arial"/>
        </w:rPr>
        <w:t xml:space="preserve"> terms under which the Coat of Arms can be used are detailed on the following website: http://www.itsanhonour.gov.au/coat-arms/. </w:t>
      </w:r>
    </w:p>
    <w:p w14:paraId="636B6C4F"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Contents</w:t>
      </w:r>
    </w:p>
    <w:p w14:paraId="2B26F83B" w14:textId="01D64DD5" w:rsidR="000A5CFA" w:rsidRPr="00490DCE" w:rsidRDefault="000A5CFA" w:rsidP="00B33148">
      <w:pPr>
        <w:tabs>
          <w:tab w:val="left" w:pos="9072"/>
        </w:tabs>
        <w:rPr>
          <w:rFonts w:cs="Arial"/>
        </w:rPr>
      </w:pPr>
      <w:r w:rsidRPr="00490DCE">
        <w:rPr>
          <w:rFonts w:cs="Arial"/>
        </w:rPr>
        <w:t>Abbreviations</w:t>
      </w:r>
      <w:r w:rsidRPr="00490DCE">
        <w:rPr>
          <w:rFonts w:cs="Arial"/>
        </w:rPr>
        <w:tab/>
      </w:r>
      <w:r w:rsidR="001D74C3">
        <w:rPr>
          <w:rFonts w:cs="Arial"/>
        </w:rPr>
        <w:t>4</w:t>
      </w:r>
    </w:p>
    <w:p w14:paraId="110DA7A2" w14:textId="345FE4D4" w:rsidR="000A5CFA" w:rsidRPr="00490DCE" w:rsidRDefault="001D74C3" w:rsidP="00B33148">
      <w:pPr>
        <w:tabs>
          <w:tab w:val="left" w:pos="9072"/>
        </w:tabs>
        <w:rPr>
          <w:rFonts w:cs="Arial"/>
        </w:rPr>
      </w:pPr>
      <w:r>
        <w:rPr>
          <w:rFonts w:cs="Arial"/>
        </w:rPr>
        <w:t>Foreword</w:t>
      </w:r>
      <w:r>
        <w:rPr>
          <w:rFonts w:cs="Arial"/>
        </w:rPr>
        <w:tab/>
        <w:t>6</w:t>
      </w:r>
    </w:p>
    <w:p w14:paraId="53E4AE2B" w14:textId="20D6C8D6" w:rsidR="000A5CFA" w:rsidRPr="00490DCE" w:rsidRDefault="000A5CFA" w:rsidP="00B33148">
      <w:pPr>
        <w:tabs>
          <w:tab w:val="left" w:pos="9072"/>
        </w:tabs>
        <w:rPr>
          <w:rFonts w:cs="Arial"/>
        </w:rPr>
      </w:pPr>
      <w:r w:rsidRPr="00490DCE">
        <w:rPr>
          <w:rFonts w:cs="Arial"/>
        </w:rPr>
        <w:t>1.</w:t>
      </w:r>
      <w:r w:rsidR="00B33148" w:rsidRPr="00490DCE">
        <w:rPr>
          <w:rFonts w:cs="Arial"/>
        </w:rPr>
        <w:t xml:space="preserve"> </w:t>
      </w:r>
      <w:r w:rsidRPr="00490DCE">
        <w:rPr>
          <w:rFonts w:cs="Arial"/>
        </w:rPr>
        <w:t>Embedding Best Practice R</w:t>
      </w:r>
      <w:r w:rsidR="001D74C3">
        <w:rPr>
          <w:rFonts w:cs="Arial"/>
        </w:rPr>
        <w:t>egulation</w:t>
      </w:r>
      <w:r w:rsidR="001D74C3">
        <w:rPr>
          <w:rFonts w:cs="Arial"/>
        </w:rPr>
        <w:tab/>
        <w:t>7</w:t>
      </w:r>
    </w:p>
    <w:p w14:paraId="06FA89EE" w14:textId="33D038C6" w:rsidR="000A5CFA" w:rsidRPr="00490DCE" w:rsidRDefault="000A5CFA" w:rsidP="00B33148">
      <w:pPr>
        <w:tabs>
          <w:tab w:val="left" w:pos="9072"/>
        </w:tabs>
        <w:ind w:firstLine="720"/>
        <w:rPr>
          <w:rFonts w:cs="Arial"/>
        </w:rPr>
      </w:pPr>
      <w:r w:rsidRPr="00490DCE">
        <w:rPr>
          <w:rFonts w:cs="Arial"/>
        </w:rPr>
        <w:t>1.1</w:t>
      </w:r>
      <w:r w:rsidR="00B33148" w:rsidRPr="00490DCE">
        <w:rPr>
          <w:rFonts w:cs="Arial"/>
        </w:rPr>
        <w:t xml:space="preserve"> </w:t>
      </w:r>
      <w:r w:rsidR="001D74C3">
        <w:rPr>
          <w:rFonts w:cs="Arial"/>
        </w:rPr>
        <w:t>Collaboration</w:t>
      </w:r>
      <w:r w:rsidR="001D74C3">
        <w:rPr>
          <w:rFonts w:cs="Arial"/>
        </w:rPr>
        <w:tab/>
        <w:t>7</w:t>
      </w:r>
    </w:p>
    <w:p w14:paraId="548A2EED" w14:textId="7665C04F" w:rsidR="000A5CFA" w:rsidRPr="00490DCE" w:rsidRDefault="000A5CFA" w:rsidP="00B33148">
      <w:pPr>
        <w:tabs>
          <w:tab w:val="left" w:pos="9072"/>
        </w:tabs>
        <w:ind w:firstLine="720"/>
        <w:rPr>
          <w:rFonts w:cs="Arial"/>
        </w:rPr>
      </w:pPr>
      <w:r w:rsidRPr="00490DCE">
        <w:rPr>
          <w:rFonts w:cs="Arial"/>
        </w:rPr>
        <w:t>1.2</w:t>
      </w:r>
      <w:r w:rsidR="00B33148" w:rsidRPr="00490DCE">
        <w:rPr>
          <w:rFonts w:cs="Arial"/>
        </w:rPr>
        <w:t xml:space="preserve"> </w:t>
      </w:r>
      <w:r w:rsidR="001D74C3">
        <w:rPr>
          <w:rFonts w:cs="Arial"/>
        </w:rPr>
        <w:t>The new RIS process</w:t>
      </w:r>
      <w:r w:rsidR="001D74C3">
        <w:rPr>
          <w:rFonts w:cs="Arial"/>
        </w:rPr>
        <w:tab/>
        <w:t>9</w:t>
      </w:r>
    </w:p>
    <w:p w14:paraId="54370E2B" w14:textId="757AC63C" w:rsidR="000A5CFA" w:rsidRPr="00490DCE" w:rsidRDefault="000A5CFA" w:rsidP="00B33148">
      <w:pPr>
        <w:tabs>
          <w:tab w:val="left" w:pos="9072"/>
        </w:tabs>
        <w:ind w:firstLine="720"/>
        <w:rPr>
          <w:rFonts w:cs="Arial"/>
        </w:rPr>
      </w:pPr>
      <w:r w:rsidRPr="00490DCE">
        <w:rPr>
          <w:rFonts w:cs="Arial"/>
        </w:rPr>
        <w:t>1.3</w:t>
      </w:r>
      <w:r w:rsidR="00B33148" w:rsidRPr="00490DCE">
        <w:rPr>
          <w:rFonts w:cs="Arial"/>
        </w:rPr>
        <w:t xml:space="preserve"> </w:t>
      </w:r>
      <w:r w:rsidR="001D74C3">
        <w:rPr>
          <w:rFonts w:cs="Arial"/>
        </w:rPr>
        <w:t>International Engagement</w:t>
      </w:r>
      <w:r w:rsidR="001D74C3">
        <w:rPr>
          <w:rFonts w:cs="Arial"/>
        </w:rPr>
        <w:tab/>
        <w:t>11</w:t>
      </w:r>
    </w:p>
    <w:p w14:paraId="5F2759D1" w14:textId="4EE7897A" w:rsidR="000A5CFA" w:rsidRPr="00490DCE" w:rsidRDefault="000A5CFA" w:rsidP="00B33148">
      <w:pPr>
        <w:tabs>
          <w:tab w:val="left" w:pos="9072"/>
        </w:tabs>
        <w:ind w:firstLine="720"/>
        <w:rPr>
          <w:rFonts w:cs="Arial"/>
        </w:rPr>
      </w:pPr>
      <w:r w:rsidRPr="00490DCE">
        <w:rPr>
          <w:rFonts w:cs="Arial"/>
        </w:rPr>
        <w:t>1.4</w:t>
      </w:r>
      <w:r w:rsidR="00B33148" w:rsidRPr="00490DCE">
        <w:rPr>
          <w:rFonts w:cs="Arial"/>
        </w:rPr>
        <w:t xml:space="preserve"> </w:t>
      </w:r>
      <w:r w:rsidRPr="00490DCE">
        <w:rPr>
          <w:rFonts w:cs="Arial"/>
        </w:rPr>
        <w:t>Behavioural economic</w:t>
      </w:r>
      <w:r w:rsidR="001D74C3">
        <w:rPr>
          <w:rFonts w:cs="Arial"/>
        </w:rPr>
        <w:t>s in public policy development</w:t>
      </w:r>
      <w:r w:rsidR="001D74C3">
        <w:rPr>
          <w:rFonts w:cs="Arial"/>
        </w:rPr>
        <w:tab/>
        <w:t>12</w:t>
      </w:r>
    </w:p>
    <w:p w14:paraId="03AD8ABC" w14:textId="2FD99302" w:rsidR="000A5CFA" w:rsidRPr="00490DCE" w:rsidRDefault="000A5CFA" w:rsidP="00B33148">
      <w:pPr>
        <w:tabs>
          <w:tab w:val="left" w:pos="9072"/>
        </w:tabs>
        <w:rPr>
          <w:rFonts w:cs="Arial"/>
        </w:rPr>
      </w:pPr>
      <w:r w:rsidRPr="00490DCE">
        <w:rPr>
          <w:rFonts w:cs="Arial"/>
        </w:rPr>
        <w:t>2.</w:t>
      </w:r>
      <w:r w:rsidR="00B33148" w:rsidRPr="00490DCE">
        <w:rPr>
          <w:rFonts w:cs="Arial"/>
        </w:rPr>
        <w:t xml:space="preserve"> </w:t>
      </w:r>
      <w:r w:rsidR="001D74C3">
        <w:rPr>
          <w:rFonts w:cs="Arial"/>
        </w:rPr>
        <w:t>Summary of Compliance</w:t>
      </w:r>
      <w:r w:rsidR="001D74C3">
        <w:rPr>
          <w:rFonts w:cs="Arial"/>
        </w:rPr>
        <w:tab/>
        <w:t>14</w:t>
      </w:r>
    </w:p>
    <w:p w14:paraId="33AFFFAD" w14:textId="43AC3C8E" w:rsidR="000A5CFA" w:rsidRPr="00490DCE" w:rsidRDefault="000A5CFA" w:rsidP="00B33148">
      <w:pPr>
        <w:tabs>
          <w:tab w:val="left" w:pos="9072"/>
        </w:tabs>
        <w:ind w:firstLine="720"/>
        <w:rPr>
          <w:rFonts w:cs="Arial"/>
        </w:rPr>
      </w:pPr>
      <w:r w:rsidRPr="00490DCE">
        <w:rPr>
          <w:rFonts w:cs="Arial"/>
        </w:rPr>
        <w:t>2.1</w:t>
      </w:r>
      <w:r w:rsidR="00B33148" w:rsidRPr="00490DCE">
        <w:rPr>
          <w:rFonts w:cs="Arial"/>
        </w:rPr>
        <w:t xml:space="preserve"> </w:t>
      </w:r>
      <w:r w:rsidRPr="00490DCE">
        <w:rPr>
          <w:rFonts w:cs="Arial"/>
        </w:rPr>
        <w:t>Australian Government’s best pr</w:t>
      </w:r>
      <w:r w:rsidR="001D74C3">
        <w:rPr>
          <w:rFonts w:cs="Arial"/>
        </w:rPr>
        <w:t>actice regulation requirements</w:t>
      </w:r>
      <w:r w:rsidR="001D74C3">
        <w:rPr>
          <w:rFonts w:cs="Arial"/>
        </w:rPr>
        <w:tab/>
        <w:t>14</w:t>
      </w:r>
    </w:p>
    <w:p w14:paraId="01F05E3A" w14:textId="141E9539" w:rsidR="000A5CFA" w:rsidRPr="00490DCE" w:rsidRDefault="000A5CFA" w:rsidP="00B33148">
      <w:pPr>
        <w:tabs>
          <w:tab w:val="left" w:pos="9072"/>
        </w:tabs>
        <w:ind w:firstLine="720"/>
        <w:rPr>
          <w:rFonts w:cs="Arial"/>
        </w:rPr>
      </w:pPr>
      <w:r w:rsidRPr="00490DCE">
        <w:rPr>
          <w:rFonts w:cs="Arial"/>
        </w:rPr>
        <w:t>2.2</w:t>
      </w:r>
      <w:r w:rsidR="00B33148" w:rsidRPr="00490DCE">
        <w:rPr>
          <w:rFonts w:cs="Arial"/>
        </w:rPr>
        <w:t xml:space="preserve"> </w:t>
      </w:r>
      <w:r w:rsidRPr="00490DCE">
        <w:rPr>
          <w:rFonts w:cs="Arial"/>
        </w:rPr>
        <w:t xml:space="preserve">Australian </w:t>
      </w:r>
      <w:r w:rsidR="001D74C3">
        <w:rPr>
          <w:rFonts w:cs="Arial"/>
        </w:rPr>
        <w:t>Government compliance</w:t>
      </w:r>
      <w:r w:rsidR="001D74C3">
        <w:rPr>
          <w:rFonts w:cs="Arial"/>
        </w:rPr>
        <w:tab/>
        <w:t>14</w:t>
      </w:r>
    </w:p>
    <w:p w14:paraId="7D5B8A65" w14:textId="264245E2" w:rsidR="000A5CFA" w:rsidRPr="00490DCE" w:rsidRDefault="000A5CFA" w:rsidP="00B33148">
      <w:pPr>
        <w:tabs>
          <w:tab w:val="left" w:pos="9072"/>
        </w:tabs>
        <w:ind w:firstLine="720"/>
        <w:rPr>
          <w:rFonts w:cs="Arial"/>
        </w:rPr>
      </w:pPr>
      <w:r w:rsidRPr="00490DCE">
        <w:rPr>
          <w:rFonts w:cs="Arial"/>
        </w:rPr>
        <w:t>2.3</w:t>
      </w:r>
      <w:r w:rsidR="00B33148" w:rsidRPr="00490DCE">
        <w:rPr>
          <w:rFonts w:cs="Arial"/>
        </w:rPr>
        <w:t xml:space="preserve"> </w:t>
      </w:r>
      <w:r w:rsidRPr="00490DCE">
        <w:rPr>
          <w:rFonts w:cs="Arial"/>
        </w:rPr>
        <w:t>COAG best pra</w:t>
      </w:r>
      <w:r w:rsidR="001D74C3">
        <w:rPr>
          <w:rFonts w:cs="Arial"/>
        </w:rPr>
        <w:t>ctice regulation requirements</w:t>
      </w:r>
      <w:r w:rsidR="001D74C3">
        <w:rPr>
          <w:rFonts w:cs="Arial"/>
        </w:rPr>
        <w:tab/>
        <w:t>17</w:t>
      </w:r>
    </w:p>
    <w:p w14:paraId="3BD92ECB" w14:textId="597837D0" w:rsidR="000A5CFA" w:rsidRPr="00490DCE" w:rsidRDefault="000A5CFA" w:rsidP="00B33148">
      <w:pPr>
        <w:tabs>
          <w:tab w:val="left" w:pos="9072"/>
        </w:tabs>
        <w:ind w:firstLine="720"/>
        <w:rPr>
          <w:rFonts w:cs="Arial"/>
        </w:rPr>
      </w:pPr>
      <w:r w:rsidRPr="00490DCE">
        <w:rPr>
          <w:rFonts w:cs="Arial"/>
        </w:rPr>
        <w:t>2.4</w:t>
      </w:r>
      <w:r w:rsidR="00B33148" w:rsidRPr="00490DCE">
        <w:rPr>
          <w:rFonts w:cs="Arial"/>
        </w:rPr>
        <w:t xml:space="preserve"> </w:t>
      </w:r>
      <w:r w:rsidR="001D74C3">
        <w:rPr>
          <w:rFonts w:cs="Arial"/>
        </w:rPr>
        <w:t>COAG compliance</w:t>
      </w:r>
      <w:r w:rsidR="001D74C3">
        <w:rPr>
          <w:rFonts w:cs="Arial"/>
        </w:rPr>
        <w:tab/>
        <w:t>18</w:t>
      </w:r>
    </w:p>
    <w:p w14:paraId="15E4F418" w14:textId="0C2C7D37" w:rsidR="000A5CFA" w:rsidRPr="00490DCE" w:rsidRDefault="000A5CFA" w:rsidP="00B33148">
      <w:pPr>
        <w:tabs>
          <w:tab w:val="left" w:pos="9072"/>
        </w:tabs>
        <w:rPr>
          <w:rFonts w:cs="Arial"/>
        </w:rPr>
      </w:pPr>
      <w:r w:rsidRPr="00490DCE">
        <w:rPr>
          <w:rFonts w:cs="Arial"/>
        </w:rPr>
        <w:t>3.</w:t>
      </w:r>
      <w:r w:rsidR="00B33148" w:rsidRPr="00490DCE">
        <w:rPr>
          <w:rFonts w:cs="Arial"/>
        </w:rPr>
        <w:t xml:space="preserve"> </w:t>
      </w:r>
      <w:r w:rsidRPr="00490DCE">
        <w:rPr>
          <w:rFonts w:cs="Arial"/>
        </w:rPr>
        <w:t>Australian Gover</w:t>
      </w:r>
      <w:r w:rsidR="001D74C3">
        <w:rPr>
          <w:rFonts w:cs="Arial"/>
        </w:rPr>
        <w:t>nment Compliance by Portfolio</w:t>
      </w:r>
      <w:r w:rsidR="001D74C3">
        <w:rPr>
          <w:rFonts w:cs="Arial"/>
        </w:rPr>
        <w:tab/>
        <w:t>19</w:t>
      </w:r>
    </w:p>
    <w:p w14:paraId="0B75081A" w14:textId="365E1BB2" w:rsidR="000A5CFA" w:rsidRPr="00490DCE" w:rsidRDefault="000A5CFA" w:rsidP="00B33148">
      <w:pPr>
        <w:tabs>
          <w:tab w:val="left" w:pos="9072"/>
        </w:tabs>
        <w:ind w:firstLine="720"/>
        <w:rPr>
          <w:rFonts w:cs="Arial"/>
        </w:rPr>
      </w:pPr>
      <w:r w:rsidRPr="00490DCE">
        <w:rPr>
          <w:rFonts w:cs="Arial"/>
        </w:rPr>
        <w:t>3.1</w:t>
      </w:r>
      <w:r w:rsidR="00B33148" w:rsidRPr="00490DCE">
        <w:rPr>
          <w:rFonts w:cs="Arial"/>
        </w:rPr>
        <w:t xml:space="preserve"> </w:t>
      </w:r>
      <w:r w:rsidRPr="00490DCE">
        <w:rPr>
          <w:rFonts w:cs="Arial"/>
        </w:rPr>
        <w:t>Detailed co</w:t>
      </w:r>
      <w:r w:rsidR="001D74C3">
        <w:rPr>
          <w:rFonts w:cs="Arial"/>
        </w:rPr>
        <w:t>mpliance results by Portfolio</w:t>
      </w:r>
      <w:r w:rsidR="001D74C3">
        <w:rPr>
          <w:rFonts w:cs="Arial"/>
        </w:rPr>
        <w:tab/>
        <w:t>20</w:t>
      </w:r>
    </w:p>
    <w:p w14:paraId="23C47695" w14:textId="247FCF8E" w:rsidR="000A5CFA" w:rsidRPr="00490DCE" w:rsidRDefault="000A5CFA" w:rsidP="00B33148">
      <w:pPr>
        <w:tabs>
          <w:tab w:val="left" w:pos="9072"/>
        </w:tabs>
        <w:ind w:firstLine="720"/>
        <w:rPr>
          <w:rFonts w:cs="Arial"/>
        </w:rPr>
      </w:pPr>
      <w:r w:rsidRPr="00490DCE">
        <w:rPr>
          <w:rFonts w:cs="Arial"/>
        </w:rPr>
        <w:t>3.2</w:t>
      </w:r>
      <w:r w:rsidR="00B33148" w:rsidRPr="00490DCE">
        <w:rPr>
          <w:rFonts w:cs="Arial"/>
        </w:rPr>
        <w:t xml:space="preserve"> </w:t>
      </w:r>
      <w:r w:rsidR="001D74C3">
        <w:rPr>
          <w:rFonts w:cs="Arial"/>
        </w:rPr>
        <w:t>Annual Regulatory Plans</w:t>
      </w:r>
      <w:r w:rsidR="001D74C3">
        <w:rPr>
          <w:rFonts w:cs="Arial"/>
        </w:rPr>
        <w:tab/>
        <w:t>30</w:t>
      </w:r>
    </w:p>
    <w:p w14:paraId="43060141" w14:textId="7A90428B" w:rsidR="000A5CFA" w:rsidRPr="00490DCE" w:rsidRDefault="00B33148" w:rsidP="00B33148">
      <w:pPr>
        <w:tabs>
          <w:tab w:val="left" w:pos="9072"/>
        </w:tabs>
        <w:rPr>
          <w:rFonts w:cs="Arial"/>
        </w:rPr>
      </w:pPr>
      <w:r w:rsidRPr="00490DCE">
        <w:rPr>
          <w:rFonts w:cs="Arial"/>
        </w:rPr>
        <w:t xml:space="preserve">4. </w:t>
      </w:r>
      <w:r w:rsidR="000A5CFA" w:rsidRPr="00490DCE">
        <w:rPr>
          <w:rFonts w:cs="Arial"/>
        </w:rPr>
        <w:t>Compliance by COAG Counci</w:t>
      </w:r>
      <w:r w:rsidR="001D74C3">
        <w:rPr>
          <w:rFonts w:cs="Arial"/>
        </w:rPr>
        <w:t>l</w:t>
      </w:r>
      <w:r w:rsidR="001D74C3">
        <w:rPr>
          <w:rFonts w:cs="Arial"/>
        </w:rPr>
        <w:tab/>
        <w:t>32</w:t>
      </w:r>
    </w:p>
    <w:p w14:paraId="586AED42" w14:textId="77C4A54E" w:rsidR="000A5CFA" w:rsidRPr="00490DCE" w:rsidRDefault="000A5CFA" w:rsidP="00B33148">
      <w:pPr>
        <w:tabs>
          <w:tab w:val="left" w:pos="9072"/>
        </w:tabs>
        <w:ind w:firstLine="720"/>
        <w:rPr>
          <w:rFonts w:cs="Arial"/>
        </w:rPr>
      </w:pPr>
      <w:r w:rsidRPr="00490DCE">
        <w:rPr>
          <w:rFonts w:cs="Arial"/>
        </w:rPr>
        <w:t>4.1</w:t>
      </w:r>
      <w:r w:rsidR="00B33148" w:rsidRPr="00490DCE">
        <w:rPr>
          <w:rFonts w:cs="Arial"/>
        </w:rPr>
        <w:t xml:space="preserve"> </w:t>
      </w:r>
      <w:r w:rsidRPr="00490DCE">
        <w:rPr>
          <w:rFonts w:cs="Arial"/>
        </w:rPr>
        <w:t>Compliance by COAG council and nat</w:t>
      </w:r>
      <w:r w:rsidR="001D74C3">
        <w:rPr>
          <w:rFonts w:cs="Arial"/>
        </w:rPr>
        <w:t>ional standard-setting bodies</w:t>
      </w:r>
      <w:r w:rsidR="001D74C3">
        <w:rPr>
          <w:rFonts w:cs="Arial"/>
        </w:rPr>
        <w:tab/>
        <w:t>33</w:t>
      </w:r>
    </w:p>
    <w:p w14:paraId="191CE43B" w14:textId="77777777" w:rsidR="00B33148" w:rsidRPr="00490DCE" w:rsidRDefault="000A5CFA" w:rsidP="00B33148">
      <w:pPr>
        <w:tabs>
          <w:tab w:val="left" w:pos="9072"/>
        </w:tabs>
        <w:ind w:firstLine="720"/>
        <w:rPr>
          <w:rFonts w:cs="Arial"/>
        </w:rPr>
      </w:pPr>
      <w:r w:rsidRPr="00490DCE">
        <w:rPr>
          <w:rFonts w:cs="Arial"/>
        </w:rPr>
        <w:t>4.2</w:t>
      </w:r>
      <w:r w:rsidR="00B33148" w:rsidRPr="00490DCE">
        <w:rPr>
          <w:rFonts w:cs="Arial"/>
        </w:rPr>
        <w:t xml:space="preserve"> </w:t>
      </w:r>
      <w:r w:rsidRPr="00490DCE">
        <w:rPr>
          <w:rFonts w:cs="Arial"/>
        </w:rPr>
        <w:t xml:space="preserve">Detailed compliance results by COAG council and national </w:t>
      </w:r>
    </w:p>
    <w:p w14:paraId="046C6A74" w14:textId="6BA188A5" w:rsidR="000A5CFA" w:rsidRPr="00490DCE" w:rsidRDefault="001D74C3" w:rsidP="00B33148">
      <w:pPr>
        <w:tabs>
          <w:tab w:val="left" w:pos="9072"/>
        </w:tabs>
        <w:ind w:firstLine="720"/>
        <w:rPr>
          <w:rFonts w:cs="Arial"/>
        </w:rPr>
      </w:pPr>
      <w:proofErr w:type="gramStart"/>
      <w:r>
        <w:rPr>
          <w:rFonts w:cs="Arial"/>
        </w:rPr>
        <w:t>standard-setting</w:t>
      </w:r>
      <w:proofErr w:type="gramEnd"/>
      <w:r>
        <w:rPr>
          <w:rFonts w:cs="Arial"/>
        </w:rPr>
        <w:t xml:space="preserve"> bodies</w:t>
      </w:r>
      <w:r>
        <w:rPr>
          <w:rFonts w:cs="Arial"/>
        </w:rPr>
        <w:tab/>
        <w:t>34</w:t>
      </w:r>
    </w:p>
    <w:p w14:paraId="4E3C8E66" w14:textId="4931FEB5" w:rsidR="000A5CFA" w:rsidRPr="00490DCE" w:rsidRDefault="000A5CFA" w:rsidP="00B33148">
      <w:pPr>
        <w:tabs>
          <w:tab w:val="left" w:pos="9072"/>
        </w:tabs>
        <w:rPr>
          <w:rFonts w:cs="Arial"/>
        </w:rPr>
      </w:pPr>
      <w:r w:rsidRPr="00490DCE">
        <w:rPr>
          <w:rFonts w:cs="Arial"/>
        </w:rPr>
        <w:t>5.</w:t>
      </w:r>
      <w:r w:rsidR="00B33148" w:rsidRPr="00490DCE">
        <w:rPr>
          <w:rFonts w:cs="Arial"/>
        </w:rPr>
        <w:t xml:space="preserve"> </w:t>
      </w:r>
      <w:r w:rsidRPr="00490DCE">
        <w:rPr>
          <w:rFonts w:cs="Arial"/>
        </w:rPr>
        <w:t>Post-implementati</w:t>
      </w:r>
      <w:r w:rsidR="001D74C3">
        <w:rPr>
          <w:rFonts w:cs="Arial"/>
        </w:rPr>
        <w:t>on Review Status by Portfolio</w:t>
      </w:r>
      <w:r w:rsidR="001D74C3">
        <w:rPr>
          <w:rFonts w:cs="Arial"/>
        </w:rPr>
        <w:tab/>
        <w:t>41</w:t>
      </w:r>
    </w:p>
    <w:p w14:paraId="042FC9FB" w14:textId="4B0F1443" w:rsidR="000A5CFA" w:rsidRPr="00490DCE" w:rsidRDefault="000A5CFA" w:rsidP="00B33148">
      <w:pPr>
        <w:tabs>
          <w:tab w:val="left" w:pos="9072"/>
        </w:tabs>
        <w:ind w:firstLine="720"/>
        <w:rPr>
          <w:rFonts w:cs="Arial"/>
        </w:rPr>
      </w:pPr>
      <w:r w:rsidRPr="00490DCE">
        <w:rPr>
          <w:rFonts w:cs="Arial"/>
        </w:rPr>
        <w:t>5.1</w:t>
      </w:r>
      <w:r w:rsidR="00B33148" w:rsidRPr="00490DCE">
        <w:rPr>
          <w:rFonts w:cs="Arial"/>
        </w:rPr>
        <w:t xml:space="preserve"> </w:t>
      </w:r>
      <w:r w:rsidRPr="00490DCE">
        <w:rPr>
          <w:rFonts w:cs="Arial"/>
        </w:rPr>
        <w:t>S</w:t>
      </w:r>
      <w:r w:rsidR="001D74C3">
        <w:rPr>
          <w:rFonts w:cs="Arial"/>
        </w:rPr>
        <w:t>tatus by department or agency</w:t>
      </w:r>
      <w:r w:rsidR="001D74C3">
        <w:rPr>
          <w:rFonts w:cs="Arial"/>
        </w:rPr>
        <w:tab/>
        <w:t>42</w:t>
      </w:r>
    </w:p>
    <w:p w14:paraId="38645D61" w14:textId="52D4B588" w:rsidR="000A5CFA" w:rsidRPr="00490DCE" w:rsidRDefault="000A5CFA" w:rsidP="00B33148">
      <w:pPr>
        <w:tabs>
          <w:tab w:val="left" w:pos="9072"/>
        </w:tabs>
        <w:ind w:firstLine="720"/>
        <w:rPr>
          <w:rFonts w:cs="Arial"/>
        </w:rPr>
      </w:pPr>
      <w:r w:rsidRPr="00490DCE">
        <w:rPr>
          <w:rFonts w:cs="Arial"/>
        </w:rPr>
        <w:t>5.2</w:t>
      </w:r>
      <w:r w:rsidR="00B33148" w:rsidRPr="00490DCE">
        <w:rPr>
          <w:rFonts w:cs="Arial"/>
        </w:rPr>
        <w:t xml:space="preserve"> </w:t>
      </w:r>
      <w:r w:rsidR="001D74C3">
        <w:rPr>
          <w:rFonts w:cs="Arial"/>
        </w:rPr>
        <w:t>Joint Proposals</w:t>
      </w:r>
      <w:r w:rsidR="001D74C3">
        <w:rPr>
          <w:rFonts w:cs="Arial"/>
        </w:rPr>
        <w:tab/>
        <w:t>56</w:t>
      </w:r>
    </w:p>
    <w:p w14:paraId="7D5F18BE" w14:textId="77777777" w:rsidR="000A5CFA" w:rsidRPr="00490DCE" w:rsidRDefault="000A5CFA">
      <w:pPr>
        <w:pStyle w:val="body"/>
        <w:rPr>
          <w:rFonts w:ascii="Arial" w:hAnsi="Arial" w:cs="Arial"/>
          <w:color w:val="auto"/>
        </w:rPr>
      </w:pPr>
    </w:p>
    <w:p w14:paraId="44452E4E"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Abbreviations</w:t>
      </w:r>
    </w:p>
    <w:tbl>
      <w:tblPr>
        <w:tblW w:w="0" w:type="auto"/>
        <w:tblInd w:w="85" w:type="dxa"/>
        <w:tblLayout w:type="fixed"/>
        <w:tblCellMar>
          <w:left w:w="0" w:type="dxa"/>
          <w:right w:w="0" w:type="dxa"/>
        </w:tblCellMar>
        <w:tblLook w:val="0000" w:firstRow="0" w:lastRow="0" w:firstColumn="0" w:lastColumn="0" w:noHBand="0" w:noVBand="0"/>
      </w:tblPr>
      <w:tblGrid>
        <w:gridCol w:w="2410"/>
        <w:gridCol w:w="6747"/>
      </w:tblGrid>
      <w:tr w:rsidR="000A5CFA" w:rsidRPr="00490DCE" w14:paraId="042A49D4"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2D0E34CA" w14:textId="77777777" w:rsidR="000A5CFA" w:rsidRPr="00490DCE" w:rsidRDefault="000A5CFA" w:rsidP="00C36262">
            <w:pPr>
              <w:rPr>
                <w:rFonts w:cs="Arial"/>
              </w:rPr>
            </w:pPr>
            <w:r w:rsidRPr="00490DCE">
              <w:rPr>
                <w:rFonts w:cs="Arial"/>
              </w:rPr>
              <w:t>AASB</w:t>
            </w:r>
          </w:p>
        </w:tc>
        <w:tc>
          <w:tcPr>
            <w:tcW w:w="6747" w:type="dxa"/>
            <w:tcBorders>
              <w:top w:val="nil"/>
              <w:left w:val="nil"/>
              <w:bottom w:val="nil"/>
              <w:right w:val="nil"/>
            </w:tcBorders>
            <w:tcMar>
              <w:top w:w="57" w:type="dxa"/>
              <w:left w:w="85" w:type="dxa"/>
              <w:bottom w:w="57" w:type="dxa"/>
              <w:right w:w="85" w:type="dxa"/>
            </w:tcMar>
          </w:tcPr>
          <w:p w14:paraId="150BE3AE" w14:textId="77777777" w:rsidR="000A5CFA" w:rsidRPr="00490DCE" w:rsidRDefault="000A5CFA" w:rsidP="00C36262">
            <w:pPr>
              <w:rPr>
                <w:rFonts w:cs="Arial"/>
              </w:rPr>
            </w:pPr>
            <w:r w:rsidRPr="00490DCE">
              <w:rPr>
                <w:rFonts w:cs="Arial"/>
              </w:rPr>
              <w:t>Australian Accounting Standards Board</w:t>
            </w:r>
          </w:p>
        </w:tc>
      </w:tr>
      <w:tr w:rsidR="000A5CFA" w:rsidRPr="00490DCE" w14:paraId="198CB0E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55F05A8" w14:textId="77777777" w:rsidR="000A5CFA" w:rsidRPr="00490DCE" w:rsidRDefault="000A5CFA" w:rsidP="00C36262">
            <w:pPr>
              <w:rPr>
                <w:rFonts w:cs="Arial"/>
              </w:rPr>
            </w:pPr>
            <w:r w:rsidRPr="00490DCE">
              <w:rPr>
                <w:rFonts w:cs="Arial"/>
              </w:rPr>
              <w:t>ACCC</w:t>
            </w:r>
          </w:p>
        </w:tc>
        <w:tc>
          <w:tcPr>
            <w:tcW w:w="6747" w:type="dxa"/>
            <w:tcBorders>
              <w:top w:val="nil"/>
              <w:left w:val="nil"/>
              <w:bottom w:val="nil"/>
              <w:right w:val="nil"/>
            </w:tcBorders>
            <w:tcMar>
              <w:top w:w="57" w:type="dxa"/>
              <w:left w:w="85" w:type="dxa"/>
              <w:bottom w:w="57" w:type="dxa"/>
              <w:right w:w="85" w:type="dxa"/>
            </w:tcMar>
          </w:tcPr>
          <w:p w14:paraId="0968EE5A" w14:textId="77777777" w:rsidR="000A5CFA" w:rsidRPr="00490DCE" w:rsidRDefault="000A5CFA" w:rsidP="00C36262">
            <w:pPr>
              <w:rPr>
                <w:rFonts w:cs="Arial"/>
              </w:rPr>
            </w:pPr>
            <w:r w:rsidRPr="00490DCE">
              <w:rPr>
                <w:rFonts w:cs="Arial"/>
              </w:rPr>
              <w:t>Australian Competition and Consumer Commission</w:t>
            </w:r>
          </w:p>
        </w:tc>
      </w:tr>
      <w:tr w:rsidR="000A5CFA" w:rsidRPr="00490DCE" w14:paraId="15A3A775"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456AC52A" w14:textId="77777777" w:rsidR="000A5CFA" w:rsidRPr="00490DCE" w:rsidRDefault="000A5CFA" w:rsidP="00C36262">
            <w:pPr>
              <w:rPr>
                <w:rFonts w:cs="Arial"/>
              </w:rPr>
            </w:pPr>
            <w:r w:rsidRPr="00490DCE">
              <w:rPr>
                <w:rFonts w:cs="Arial"/>
              </w:rPr>
              <w:t>ACMA</w:t>
            </w:r>
          </w:p>
        </w:tc>
        <w:tc>
          <w:tcPr>
            <w:tcW w:w="6747" w:type="dxa"/>
            <w:tcBorders>
              <w:top w:val="nil"/>
              <w:left w:val="nil"/>
              <w:bottom w:val="nil"/>
              <w:right w:val="nil"/>
            </w:tcBorders>
            <w:tcMar>
              <w:top w:w="57" w:type="dxa"/>
              <w:left w:w="85" w:type="dxa"/>
              <w:bottom w:w="57" w:type="dxa"/>
              <w:right w:w="85" w:type="dxa"/>
            </w:tcMar>
          </w:tcPr>
          <w:p w14:paraId="2C1AA7C9" w14:textId="77777777" w:rsidR="000A5CFA" w:rsidRPr="00490DCE" w:rsidRDefault="000A5CFA" w:rsidP="00C36262">
            <w:pPr>
              <w:rPr>
                <w:rFonts w:cs="Arial"/>
              </w:rPr>
            </w:pPr>
            <w:r w:rsidRPr="00490DCE">
              <w:rPr>
                <w:rFonts w:cs="Arial"/>
              </w:rPr>
              <w:t>Australian Communications and Media Authority</w:t>
            </w:r>
          </w:p>
        </w:tc>
      </w:tr>
      <w:tr w:rsidR="000A5CFA" w:rsidRPr="00490DCE" w14:paraId="170658A2"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425BFA63" w14:textId="77777777" w:rsidR="000A5CFA" w:rsidRPr="00490DCE" w:rsidRDefault="000A5CFA" w:rsidP="00C36262">
            <w:pPr>
              <w:rPr>
                <w:rFonts w:cs="Arial"/>
              </w:rPr>
            </w:pPr>
            <w:r w:rsidRPr="00490DCE">
              <w:rPr>
                <w:rFonts w:cs="Arial"/>
              </w:rPr>
              <w:t>AGD</w:t>
            </w:r>
          </w:p>
        </w:tc>
        <w:tc>
          <w:tcPr>
            <w:tcW w:w="6747" w:type="dxa"/>
            <w:tcBorders>
              <w:top w:val="nil"/>
              <w:left w:val="nil"/>
              <w:bottom w:val="nil"/>
              <w:right w:val="nil"/>
            </w:tcBorders>
            <w:tcMar>
              <w:top w:w="57" w:type="dxa"/>
              <w:left w:w="85" w:type="dxa"/>
              <w:bottom w:w="57" w:type="dxa"/>
              <w:right w:w="85" w:type="dxa"/>
            </w:tcMar>
          </w:tcPr>
          <w:p w14:paraId="5DA17B5C" w14:textId="77777777" w:rsidR="000A5CFA" w:rsidRPr="00490DCE" w:rsidRDefault="000A5CFA" w:rsidP="00C36262">
            <w:pPr>
              <w:rPr>
                <w:rFonts w:cs="Arial"/>
              </w:rPr>
            </w:pPr>
            <w:r w:rsidRPr="00490DCE">
              <w:rPr>
                <w:rFonts w:cs="Arial"/>
              </w:rPr>
              <w:t>Attorney-General’s Department</w:t>
            </w:r>
          </w:p>
        </w:tc>
      </w:tr>
      <w:tr w:rsidR="000A5CFA" w:rsidRPr="00490DCE" w14:paraId="4320D025"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982FB04" w14:textId="77777777" w:rsidR="000A5CFA" w:rsidRPr="00490DCE" w:rsidRDefault="000A5CFA" w:rsidP="00C36262">
            <w:pPr>
              <w:rPr>
                <w:rFonts w:cs="Arial"/>
              </w:rPr>
            </w:pPr>
            <w:r w:rsidRPr="00490DCE">
              <w:rPr>
                <w:rFonts w:cs="Arial"/>
              </w:rPr>
              <w:t>AO</w:t>
            </w:r>
          </w:p>
        </w:tc>
        <w:tc>
          <w:tcPr>
            <w:tcW w:w="6747" w:type="dxa"/>
            <w:tcBorders>
              <w:top w:val="nil"/>
              <w:left w:val="nil"/>
              <w:bottom w:val="nil"/>
              <w:right w:val="nil"/>
            </w:tcBorders>
            <w:tcMar>
              <w:top w:w="57" w:type="dxa"/>
              <w:left w:w="85" w:type="dxa"/>
              <w:bottom w:w="57" w:type="dxa"/>
              <w:right w:w="85" w:type="dxa"/>
            </w:tcMar>
          </w:tcPr>
          <w:p w14:paraId="60E4C32F" w14:textId="77777777" w:rsidR="000A5CFA" w:rsidRPr="00490DCE" w:rsidRDefault="000A5CFA" w:rsidP="00C36262">
            <w:pPr>
              <w:rPr>
                <w:rFonts w:cs="Arial"/>
              </w:rPr>
            </w:pPr>
            <w:r w:rsidRPr="00490DCE">
              <w:rPr>
                <w:rFonts w:cs="Arial"/>
              </w:rPr>
              <w:t>Order of Australia</w:t>
            </w:r>
          </w:p>
        </w:tc>
      </w:tr>
      <w:tr w:rsidR="000A5CFA" w:rsidRPr="00490DCE" w14:paraId="0CFA4DEC"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CDDEEC3" w14:textId="77777777" w:rsidR="000A5CFA" w:rsidRPr="00490DCE" w:rsidRDefault="000A5CFA" w:rsidP="00C36262">
            <w:pPr>
              <w:rPr>
                <w:rFonts w:cs="Arial"/>
              </w:rPr>
            </w:pPr>
            <w:r w:rsidRPr="00490DCE">
              <w:rPr>
                <w:rFonts w:cs="Arial"/>
              </w:rPr>
              <w:t>APEC</w:t>
            </w:r>
          </w:p>
        </w:tc>
        <w:tc>
          <w:tcPr>
            <w:tcW w:w="6747" w:type="dxa"/>
            <w:tcBorders>
              <w:top w:val="nil"/>
              <w:left w:val="nil"/>
              <w:bottom w:val="nil"/>
              <w:right w:val="nil"/>
            </w:tcBorders>
            <w:tcMar>
              <w:top w:w="57" w:type="dxa"/>
              <w:left w:w="85" w:type="dxa"/>
              <w:bottom w:w="57" w:type="dxa"/>
              <w:right w:w="85" w:type="dxa"/>
            </w:tcMar>
          </w:tcPr>
          <w:p w14:paraId="491D8814" w14:textId="77777777" w:rsidR="000A5CFA" w:rsidRPr="00490DCE" w:rsidRDefault="000A5CFA" w:rsidP="00C36262">
            <w:pPr>
              <w:rPr>
                <w:rFonts w:cs="Arial"/>
              </w:rPr>
            </w:pPr>
            <w:r w:rsidRPr="00490DCE">
              <w:rPr>
                <w:rFonts w:cs="Arial"/>
              </w:rPr>
              <w:t>Asia-Pacific Economic Cooperation</w:t>
            </w:r>
          </w:p>
        </w:tc>
      </w:tr>
      <w:tr w:rsidR="000A5CFA" w:rsidRPr="00490DCE" w14:paraId="3B282BCD"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98C045D" w14:textId="77777777" w:rsidR="000A5CFA" w:rsidRPr="00490DCE" w:rsidRDefault="000A5CFA" w:rsidP="00C36262">
            <w:pPr>
              <w:rPr>
                <w:rFonts w:cs="Arial"/>
              </w:rPr>
            </w:pPr>
            <w:r w:rsidRPr="00490DCE">
              <w:rPr>
                <w:rFonts w:cs="Arial"/>
              </w:rPr>
              <w:t>ASIC</w:t>
            </w:r>
          </w:p>
        </w:tc>
        <w:tc>
          <w:tcPr>
            <w:tcW w:w="6747" w:type="dxa"/>
            <w:tcBorders>
              <w:top w:val="nil"/>
              <w:left w:val="nil"/>
              <w:bottom w:val="nil"/>
              <w:right w:val="nil"/>
            </w:tcBorders>
            <w:tcMar>
              <w:top w:w="57" w:type="dxa"/>
              <w:left w:w="85" w:type="dxa"/>
              <w:bottom w:w="57" w:type="dxa"/>
              <w:right w:w="85" w:type="dxa"/>
            </w:tcMar>
          </w:tcPr>
          <w:p w14:paraId="0B905561" w14:textId="77777777" w:rsidR="000A5CFA" w:rsidRPr="00490DCE" w:rsidRDefault="000A5CFA" w:rsidP="00C36262">
            <w:pPr>
              <w:rPr>
                <w:rFonts w:cs="Arial"/>
              </w:rPr>
            </w:pPr>
            <w:r w:rsidRPr="00490DCE">
              <w:rPr>
                <w:rFonts w:cs="Arial"/>
              </w:rPr>
              <w:t>Australian Securities and Investments Commission</w:t>
            </w:r>
          </w:p>
        </w:tc>
      </w:tr>
      <w:tr w:rsidR="000A5CFA" w:rsidRPr="00490DCE" w14:paraId="530CAE4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0F252ED8" w14:textId="77777777" w:rsidR="000A5CFA" w:rsidRPr="00490DCE" w:rsidRDefault="000A5CFA" w:rsidP="00C36262">
            <w:pPr>
              <w:rPr>
                <w:rFonts w:cs="Arial"/>
              </w:rPr>
            </w:pPr>
            <w:r w:rsidRPr="00490DCE">
              <w:rPr>
                <w:rFonts w:cs="Arial"/>
              </w:rPr>
              <w:t>AUSTRAC</w:t>
            </w:r>
          </w:p>
        </w:tc>
        <w:tc>
          <w:tcPr>
            <w:tcW w:w="6747" w:type="dxa"/>
            <w:tcBorders>
              <w:top w:val="nil"/>
              <w:left w:val="nil"/>
              <w:bottom w:val="nil"/>
              <w:right w:val="nil"/>
            </w:tcBorders>
            <w:tcMar>
              <w:top w:w="57" w:type="dxa"/>
              <w:left w:w="85" w:type="dxa"/>
              <w:bottom w:w="57" w:type="dxa"/>
              <w:right w:w="85" w:type="dxa"/>
            </w:tcMar>
          </w:tcPr>
          <w:p w14:paraId="2082C001" w14:textId="77777777" w:rsidR="000A5CFA" w:rsidRPr="00490DCE" w:rsidRDefault="000A5CFA" w:rsidP="00C36262">
            <w:pPr>
              <w:rPr>
                <w:rFonts w:cs="Arial"/>
              </w:rPr>
            </w:pPr>
            <w:r w:rsidRPr="00490DCE">
              <w:rPr>
                <w:rFonts w:cs="Arial"/>
              </w:rPr>
              <w:t>Australian Transaction Reports and Analysis Centre</w:t>
            </w:r>
          </w:p>
        </w:tc>
      </w:tr>
      <w:tr w:rsidR="000A5CFA" w:rsidRPr="00490DCE" w14:paraId="3232BC28"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28875B79" w14:textId="77777777" w:rsidR="000A5CFA" w:rsidRPr="00490DCE" w:rsidRDefault="000A5CFA" w:rsidP="00C36262">
            <w:pPr>
              <w:rPr>
                <w:rFonts w:cs="Arial"/>
              </w:rPr>
            </w:pPr>
            <w:r w:rsidRPr="00490DCE">
              <w:rPr>
                <w:rFonts w:cs="Arial"/>
              </w:rPr>
              <w:t>CEO</w:t>
            </w:r>
          </w:p>
        </w:tc>
        <w:tc>
          <w:tcPr>
            <w:tcW w:w="6747" w:type="dxa"/>
            <w:tcBorders>
              <w:top w:val="nil"/>
              <w:left w:val="nil"/>
              <w:bottom w:val="nil"/>
              <w:right w:val="nil"/>
            </w:tcBorders>
            <w:tcMar>
              <w:top w:w="57" w:type="dxa"/>
              <w:left w:w="85" w:type="dxa"/>
              <w:bottom w:w="57" w:type="dxa"/>
              <w:right w:w="85" w:type="dxa"/>
            </w:tcMar>
          </w:tcPr>
          <w:p w14:paraId="6BCCFDD5" w14:textId="77777777" w:rsidR="000A5CFA" w:rsidRPr="00490DCE" w:rsidRDefault="000A5CFA" w:rsidP="00C36262">
            <w:pPr>
              <w:rPr>
                <w:rFonts w:cs="Arial"/>
              </w:rPr>
            </w:pPr>
            <w:r w:rsidRPr="00490DCE">
              <w:rPr>
                <w:rFonts w:cs="Arial"/>
              </w:rPr>
              <w:t>Chief Executive Officer</w:t>
            </w:r>
          </w:p>
        </w:tc>
      </w:tr>
      <w:tr w:rsidR="000A5CFA" w:rsidRPr="00490DCE" w14:paraId="7527124C"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F691409" w14:textId="77777777" w:rsidR="000A5CFA" w:rsidRPr="00490DCE" w:rsidRDefault="000A5CFA" w:rsidP="00C36262">
            <w:pPr>
              <w:rPr>
                <w:rFonts w:cs="Arial"/>
              </w:rPr>
            </w:pPr>
            <w:r w:rsidRPr="00490DCE">
              <w:rPr>
                <w:rFonts w:cs="Arial"/>
              </w:rPr>
              <w:t>COAG</w:t>
            </w:r>
          </w:p>
        </w:tc>
        <w:tc>
          <w:tcPr>
            <w:tcW w:w="6747" w:type="dxa"/>
            <w:tcBorders>
              <w:top w:val="nil"/>
              <w:left w:val="nil"/>
              <w:bottom w:val="nil"/>
              <w:right w:val="nil"/>
            </w:tcBorders>
            <w:tcMar>
              <w:top w:w="57" w:type="dxa"/>
              <w:left w:w="85" w:type="dxa"/>
              <w:bottom w:w="57" w:type="dxa"/>
              <w:right w:w="85" w:type="dxa"/>
            </w:tcMar>
          </w:tcPr>
          <w:p w14:paraId="5D327E60" w14:textId="77777777" w:rsidR="000A5CFA" w:rsidRPr="00490DCE" w:rsidRDefault="000A5CFA" w:rsidP="00C36262">
            <w:pPr>
              <w:rPr>
                <w:rFonts w:cs="Arial"/>
              </w:rPr>
            </w:pPr>
            <w:r w:rsidRPr="00490DCE">
              <w:rPr>
                <w:rFonts w:cs="Arial"/>
              </w:rPr>
              <w:t>Council of Australian Governments</w:t>
            </w:r>
          </w:p>
        </w:tc>
      </w:tr>
      <w:tr w:rsidR="000A5CFA" w:rsidRPr="00490DCE" w14:paraId="18EB2B2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6F5DD40" w14:textId="77777777" w:rsidR="000A5CFA" w:rsidRPr="00490DCE" w:rsidRDefault="000A5CFA" w:rsidP="00C36262">
            <w:pPr>
              <w:rPr>
                <w:rFonts w:cs="Arial"/>
              </w:rPr>
            </w:pPr>
            <w:r w:rsidRPr="00490DCE">
              <w:rPr>
                <w:rFonts w:cs="Arial"/>
              </w:rPr>
              <w:t>COAG Guide</w:t>
            </w:r>
          </w:p>
        </w:tc>
        <w:tc>
          <w:tcPr>
            <w:tcW w:w="6747" w:type="dxa"/>
            <w:tcBorders>
              <w:top w:val="nil"/>
              <w:left w:val="nil"/>
              <w:bottom w:val="nil"/>
              <w:right w:val="nil"/>
            </w:tcBorders>
            <w:tcMar>
              <w:top w:w="57" w:type="dxa"/>
              <w:left w:w="85" w:type="dxa"/>
              <w:bottom w:w="57" w:type="dxa"/>
              <w:right w:w="85" w:type="dxa"/>
            </w:tcMar>
          </w:tcPr>
          <w:p w14:paraId="5135D2F7" w14:textId="77777777" w:rsidR="000A5CFA" w:rsidRPr="009F5D20" w:rsidRDefault="000A5CFA" w:rsidP="00C36262">
            <w:pPr>
              <w:rPr>
                <w:rFonts w:cs="Arial"/>
                <w:i/>
              </w:rPr>
            </w:pPr>
            <w:r w:rsidRPr="009F5D20">
              <w:rPr>
                <w:rStyle w:val="italic"/>
                <w:rFonts w:cs="Arial"/>
                <w:i/>
              </w:rPr>
              <w:t xml:space="preserve">COAG Best Practice Regulation: A Guide for Ministerial Councils and National Standard Setting Bodies </w:t>
            </w:r>
          </w:p>
        </w:tc>
      </w:tr>
      <w:tr w:rsidR="000A5CFA" w:rsidRPr="00490DCE" w14:paraId="1D541B30"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10E3D782" w14:textId="77777777" w:rsidR="000A5CFA" w:rsidRPr="00490DCE" w:rsidRDefault="000A5CFA" w:rsidP="00C36262">
            <w:pPr>
              <w:rPr>
                <w:rFonts w:cs="Arial"/>
              </w:rPr>
            </w:pPr>
            <w:r w:rsidRPr="00490DCE">
              <w:rPr>
                <w:rFonts w:cs="Arial"/>
              </w:rPr>
              <w:t>DBCDE</w:t>
            </w:r>
          </w:p>
        </w:tc>
        <w:tc>
          <w:tcPr>
            <w:tcW w:w="6747" w:type="dxa"/>
            <w:tcBorders>
              <w:top w:val="nil"/>
              <w:left w:val="nil"/>
              <w:bottom w:val="nil"/>
              <w:right w:val="nil"/>
            </w:tcBorders>
            <w:tcMar>
              <w:top w:w="57" w:type="dxa"/>
              <w:left w:w="85" w:type="dxa"/>
              <w:bottom w:w="57" w:type="dxa"/>
              <w:right w:w="85" w:type="dxa"/>
            </w:tcMar>
          </w:tcPr>
          <w:p w14:paraId="0FCF4343" w14:textId="77777777" w:rsidR="000A5CFA" w:rsidRPr="00490DCE" w:rsidRDefault="000A5CFA" w:rsidP="00C36262">
            <w:pPr>
              <w:rPr>
                <w:rFonts w:cs="Arial"/>
              </w:rPr>
            </w:pPr>
            <w:r w:rsidRPr="00490DCE">
              <w:rPr>
                <w:rFonts w:cs="Arial"/>
              </w:rPr>
              <w:t>Department of Broadband, Communications and the Digital Economy</w:t>
            </w:r>
          </w:p>
        </w:tc>
      </w:tr>
      <w:tr w:rsidR="000A5CFA" w:rsidRPr="00490DCE" w14:paraId="25AE8CE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3EA3BC9B" w14:textId="77777777" w:rsidR="000A5CFA" w:rsidRPr="00490DCE" w:rsidRDefault="000A5CFA" w:rsidP="00C36262">
            <w:pPr>
              <w:rPr>
                <w:rFonts w:cs="Arial"/>
              </w:rPr>
            </w:pPr>
            <w:r w:rsidRPr="00490DCE">
              <w:rPr>
                <w:rFonts w:cs="Arial"/>
              </w:rPr>
              <w:t>DEEWR</w:t>
            </w:r>
          </w:p>
        </w:tc>
        <w:tc>
          <w:tcPr>
            <w:tcW w:w="6747" w:type="dxa"/>
            <w:tcBorders>
              <w:top w:val="nil"/>
              <w:left w:val="nil"/>
              <w:bottom w:val="nil"/>
              <w:right w:val="nil"/>
            </w:tcBorders>
            <w:tcMar>
              <w:top w:w="57" w:type="dxa"/>
              <w:left w:w="85" w:type="dxa"/>
              <w:bottom w:w="57" w:type="dxa"/>
              <w:right w:w="85" w:type="dxa"/>
            </w:tcMar>
          </w:tcPr>
          <w:p w14:paraId="2A875AAE" w14:textId="77777777" w:rsidR="000A5CFA" w:rsidRPr="00490DCE" w:rsidRDefault="000A5CFA" w:rsidP="00C36262">
            <w:pPr>
              <w:rPr>
                <w:rFonts w:cs="Arial"/>
              </w:rPr>
            </w:pPr>
            <w:r w:rsidRPr="00490DCE">
              <w:rPr>
                <w:rFonts w:cs="Arial"/>
              </w:rPr>
              <w:t xml:space="preserve">Department of Education, Employment and Workplace Relations </w:t>
            </w:r>
          </w:p>
        </w:tc>
      </w:tr>
      <w:tr w:rsidR="000A5CFA" w:rsidRPr="00490DCE" w14:paraId="146BADCA"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3460E6B1" w14:textId="77777777" w:rsidR="000A5CFA" w:rsidRPr="00490DCE" w:rsidRDefault="000A5CFA" w:rsidP="00C36262">
            <w:pPr>
              <w:rPr>
                <w:rFonts w:cs="Arial"/>
              </w:rPr>
            </w:pPr>
            <w:r w:rsidRPr="00490DCE">
              <w:rPr>
                <w:rFonts w:cs="Arial"/>
              </w:rPr>
              <w:t>DIAC</w:t>
            </w:r>
          </w:p>
        </w:tc>
        <w:tc>
          <w:tcPr>
            <w:tcW w:w="6747" w:type="dxa"/>
            <w:tcBorders>
              <w:top w:val="nil"/>
              <w:left w:val="nil"/>
              <w:bottom w:val="nil"/>
              <w:right w:val="nil"/>
            </w:tcBorders>
            <w:tcMar>
              <w:top w:w="57" w:type="dxa"/>
              <w:left w:w="85" w:type="dxa"/>
              <w:bottom w:w="57" w:type="dxa"/>
              <w:right w:w="85" w:type="dxa"/>
            </w:tcMar>
          </w:tcPr>
          <w:p w14:paraId="047EED8B" w14:textId="77777777" w:rsidR="000A5CFA" w:rsidRPr="00490DCE" w:rsidRDefault="000A5CFA" w:rsidP="00C36262">
            <w:pPr>
              <w:rPr>
                <w:rFonts w:cs="Arial"/>
              </w:rPr>
            </w:pPr>
            <w:r w:rsidRPr="00490DCE">
              <w:rPr>
                <w:rFonts w:cs="Arial"/>
              </w:rPr>
              <w:t>Department of Immigration and Citizenship</w:t>
            </w:r>
          </w:p>
        </w:tc>
      </w:tr>
      <w:tr w:rsidR="000A5CFA" w:rsidRPr="00490DCE" w14:paraId="5F3E7B2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01F6CC05" w14:textId="77777777" w:rsidR="000A5CFA" w:rsidRPr="00490DCE" w:rsidRDefault="000A5CFA" w:rsidP="00C36262">
            <w:pPr>
              <w:rPr>
                <w:rFonts w:cs="Arial"/>
              </w:rPr>
            </w:pPr>
            <w:r w:rsidRPr="00490DCE">
              <w:rPr>
                <w:rFonts w:cs="Arial"/>
              </w:rPr>
              <w:t>DIICCSRTE</w:t>
            </w:r>
          </w:p>
        </w:tc>
        <w:tc>
          <w:tcPr>
            <w:tcW w:w="6747" w:type="dxa"/>
            <w:tcBorders>
              <w:top w:val="nil"/>
              <w:left w:val="nil"/>
              <w:bottom w:val="nil"/>
              <w:right w:val="nil"/>
            </w:tcBorders>
            <w:tcMar>
              <w:top w:w="57" w:type="dxa"/>
              <w:left w:w="85" w:type="dxa"/>
              <w:bottom w:w="57" w:type="dxa"/>
              <w:right w:w="85" w:type="dxa"/>
            </w:tcMar>
          </w:tcPr>
          <w:p w14:paraId="73FD80AE" w14:textId="77777777" w:rsidR="000A5CFA" w:rsidRPr="00490DCE" w:rsidRDefault="000A5CFA" w:rsidP="00C36262">
            <w:pPr>
              <w:rPr>
                <w:rFonts w:cs="Arial"/>
              </w:rPr>
            </w:pPr>
            <w:r w:rsidRPr="00490DCE">
              <w:rPr>
                <w:rFonts w:cs="Arial"/>
              </w:rPr>
              <w:t>Department of Industry, Innovation, Climate Change, Science, Research and Tertiary Education</w:t>
            </w:r>
          </w:p>
        </w:tc>
      </w:tr>
      <w:tr w:rsidR="000A5CFA" w:rsidRPr="00490DCE" w14:paraId="1FCA6769"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B06DC15" w14:textId="77777777" w:rsidR="000A5CFA" w:rsidRPr="00490DCE" w:rsidRDefault="000A5CFA" w:rsidP="00C36262">
            <w:pPr>
              <w:rPr>
                <w:rFonts w:cs="Arial"/>
              </w:rPr>
            </w:pPr>
            <w:r w:rsidRPr="00490DCE">
              <w:rPr>
                <w:rFonts w:cs="Arial"/>
              </w:rPr>
              <w:t>DIT</w:t>
            </w:r>
          </w:p>
        </w:tc>
        <w:tc>
          <w:tcPr>
            <w:tcW w:w="6747" w:type="dxa"/>
            <w:tcBorders>
              <w:top w:val="nil"/>
              <w:left w:val="nil"/>
              <w:bottom w:val="nil"/>
              <w:right w:val="nil"/>
            </w:tcBorders>
            <w:tcMar>
              <w:top w:w="57" w:type="dxa"/>
              <w:left w:w="85" w:type="dxa"/>
              <w:bottom w:w="57" w:type="dxa"/>
              <w:right w:w="85" w:type="dxa"/>
            </w:tcMar>
          </w:tcPr>
          <w:p w14:paraId="513600D2" w14:textId="77777777" w:rsidR="000A5CFA" w:rsidRPr="00490DCE" w:rsidRDefault="000A5CFA" w:rsidP="00C36262">
            <w:pPr>
              <w:rPr>
                <w:rFonts w:cs="Arial"/>
              </w:rPr>
            </w:pPr>
            <w:r w:rsidRPr="00490DCE">
              <w:rPr>
                <w:rFonts w:cs="Arial"/>
              </w:rPr>
              <w:t>Department of Infrastructure and Transport</w:t>
            </w:r>
          </w:p>
        </w:tc>
      </w:tr>
      <w:tr w:rsidR="000A5CFA" w:rsidRPr="00490DCE" w14:paraId="6B2697D4"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32EDE8EF" w14:textId="77777777" w:rsidR="000A5CFA" w:rsidRPr="00490DCE" w:rsidRDefault="000A5CFA" w:rsidP="00C36262">
            <w:pPr>
              <w:rPr>
                <w:rFonts w:cs="Arial"/>
              </w:rPr>
            </w:pPr>
            <w:r w:rsidRPr="00490DCE">
              <w:rPr>
                <w:rFonts w:cs="Arial"/>
              </w:rPr>
              <w:t>DHA</w:t>
            </w:r>
          </w:p>
        </w:tc>
        <w:tc>
          <w:tcPr>
            <w:tcW w:w="6747" w:type="dxa"/>
            <w:tcBorders>
              <w:top w:val="nil"/>
              <w:left w:val="nil"/>
              <w:bottom w:val="nil"/>
              <w:right w:val="nil"/>
            </w:tcBorders>
            <w:tcMar>
              <w:top w:w="57" w:type="dxa"/>
              <w:left w:w="85" w:type="dxa"/>
              <w:bottom w:w="57" w:type="dxa"/>
              <w:right w:w="85" w:type="dxa"/>
            </w:tcMar>
          </w:tcPr>
          <w:p w14:paraId="6C0DDEBB" w14:textId="77777777" w:rsidR="000A5CFA" w:rsidRPr="00490DCE" w:rsidRDefault="000A5CFA" w:rsidP="00C36262">
            <w:pPr>
              <w:rPr>
                <w:rFonts w:cs="Arial"/>
              </w:rPr>
            </w:pPr>
            <w:r w:rsidRPr="00490DCE">
              <w:rPr>
                <w:rFonts w:cs="Arial"/>
              </w:rPr>
              <w:t>Department of Health and Ageing</w:t>
            </w:r>
          </w:p>
        </w:tc>
      </w:tr>
      <w:tr w:rsidR="000A5CFA" w:rsidRPr="00490DCE" w14:paraId="2B7CE935"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429B8F6F" w14:textId="77777777" w:rsidR="000A5CFA" w:rsidRPr="00490DCE" w:rsidRDefault="000A5CFA" w:rsidP="00C36262">
            <w:pPr>
              <w:rPr>
                <w:rFonts w:cs="Arial"/>
              </w:rPr>
            </w:pPr>
            <w:r w:rsidRPr="00490DCE">
              <w:rPr>
                <w:rFonts w:cs="Arial"/>
              </w:rPr>
              <w:t>DRET</w:t>
            </w:r>
          </w:p>
        </w:tc>
        <w:tc>
          <w:tcPr>
            <w:tcW w:w="6747" w:type="dxa"/>
            <w:tcBorders>
              <w:top w:val="nil"/>
              <w:left w:val="nil"/>
              <w:bottom w:val="nil"/>
              <w:right w:val="nil"/>
            </w:tcBorders>
            <w:tcMar>
              <w:top w:w="57" w:type="dxa"/>
              <w:left w:w="85" w:type="dxa"/>
              <w:bottom w:w="57" w:type="dxa"/>
              <w:right w:w="85" w:type="dxa"/>
            </w:tcMar>
          </w:tcPr>
          <w:p w14:paraId="64DA730F" w14:textId="77777777" w:rsidR="000A5CFA" w:rsidRPr="00490DCE" w:rsidRDefault="000A5CFA" w:rsidP="00C36262">
            <w:pPr>
              <w:rPr>
                <w:rFonts w:cs="Arial"/>
              </w:rPr>
            </w:pPr>
            <w:r w:rsidRPr="00490DCE">
              <w:rPr>
                <w:rFonts w:cs="Arial"/>
              </w:rPr>
              <w:t>Department of Resources, Energy and Tourism</w:t>
            </w:r>
          </w:p>
        </w:tc>
      </w:tr>
      <w:tr w:rsidR="000A5CFA" w:rsidRPr="00490DCE" w14:paraId="1C4EB52D"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20B592A" w14:textId="77777777" w:rsidR="000A5CFA" w:rsidRPr="00490DCE" w:rsidRDefault="000A5CFA" w:rsidP="00C36262">
            <w:pPr>
              <w:rPr>
                <w:rFonts w:cs="Arial"/>
              </w:rPr>
            </w:pPr>
            <w:r w:rsidRPr="00490DCE">
              <w:rPr>
                <w:rFonts w:cs="Arial"/>
              </w:rPr>
              <w:t>DSEWPAC</w:t>
            </w:r>
          </w:p>
        </w:tc>
        <w:tc>
          <w:tcPr>
            <w:tcW w:w="6747" w:type="dxa"/>
            <w:tcBorders>
              <w:top w:val="nil"/>
              <w:left w:val="nil"/>
              <w:bottom w:val="nil"/>
              <w:right w:val="nil"/>
            </w:tcBorders>
            <w:tcMar>
              <w:top w:w="57" w:type="dxa"/>
              <w:left w:w="85" w:type="dxa"/>
              <w:bottom w:w="57" w:type="dxa"/>
              <w:right w:w="85" w:type="dxa"/>
            </w:tcMar>
          </w:tcPr>
          <w:p w14:paraId="386881F7" w14:textId="77777777" w:rsidR="000A5CFA" w:rsidRPr="00490DCE" w:rsidRDefault="000A5CFA" w:rsidP="00C36262">
            <w:pPr>
              <w:rPr>
                <w:rFonts w:cs="Arial"/>
              </w:rPr>
            </w:pPr>
            <w:r w:rsidRPr="00490DCE">
              <w:rPr>
                <w:rFonts w:cs="Arial"/>
              </w:rPr>
              <w:t>Department of Sustainability, Environment, Water, Population and Communities</w:t>
            </w:r>
          </w:p>
        </w:tc>
      </w:tr>
      <w:tr w:rsidR="000A5CFA" w:rsidRPr="00490DCE" w14:paraId="165861D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12894E07" w14:textId="77777777" w:rsidR="000A5CFA" w:rsidRPr="00490DCE" w:rsidRDefault="000A5CFA" w:rsidP="00C36262">
            <w:pPr>
              <w:rPr>
                <w:rFonts w:cs="Arial"/>
              </w:rPr>
            </w:pPr>
            <w:r w:rsidRPr="00490DCE">
              <w:rPr>
                <w:rFonts w:cs="Arial"/>
              </w:rPr>
              <w:t>E/c</w:t>
            </w:r>
          </w:p>
        </w:tc>
        <w:tc>
          <w:tcPr>
            <w:tcW w:w="6747" w:type="dxa"/>
            <w:tcBorders>
              <w:top w:val="nil"/>
              <w:left w:val="nil"/>
              <w:bottom w:val="nil"/>
              <w:right w:val="nil"/>
            </w:tcBorders>
            <w:tcMar>
              <w:top w:w="57" w:type="dxa"/>
              <w:left w:w="85" w:type="dxa"/>
              <w:bottom w:w="57" w:type="dxa"/>
              <w:right w:w="85" w:type="dxa"/>
            </w:tcMar>
          </w:tcPr>
          <w:p w14:paraId="38830B61" w14:textId="77777777" w:rsidR="000A5CFA" w:rsidRPr="00490DCE" w:rsidRDefault="000A5CFA" w:rsidP="00C36262">
            <w:pPr>
              <w:rPr>
                <w:rFonts w:cs="Arial"/>
              </w:rPr>
            </w:pPr>
            <w:r w:rsidRPr="00490DCE">
              <w:rPr>
                <w:rFonts w:cs="Arial"/>
              </w:rPr>
              <w:t>Exceptional circumstances</w:t>
            </w:r>
          </w:p>
        </w:tc>
      </w:tr>
      <w:tr w:rsidR="000A5CFA" w:rsidRPr="00490DCE" w14:paraId="0F1DD56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7AECB53" w14:textId="77777777" w:rsidR="000A5CFA" w:rsidRPr="00490DCE" w:rsidRDefault="000A5CFA" w:rsidP="00C36262">
            <w:pPr>
              <w:rPr>
                <w:rFonts w:cs="Arial"/>
              </w:rPr>
            </w:pPr>
            <w:r w:rsidRPr="00490DCE">
              <w:rPr>
                <w:rFonts w:cs="Arial"/>
              </w:rPr>
              <w:t>EEO</w:t>
            </w:r>
          </w:p>
        </w:tc>
        <w:tc>
          <w:tcPr>
            <w:tcW w:w="6747" w:type="dxa"/>
            <w:tcBorders>
              <w:top w:val="nil"/>
              <w:left w:val="nil"/>
              <w:bottom w:val="nil"/>
              <w:right w:val="nil"/>
            </w:tcBorders>
            <w:tcMar>
              <w:top w:w="57" w:type="dxa"/>
              <w:left w:w="85" w:type="dxa"/>
              <w:bottom w:w="57" w:type="dxa"/>
              <w:right w:w="85" w:type="dxa"/>
            </w:tcMar>
          </w:tcPr>
          <w:p w14:paraId="67BB14E7" w14:textId="77777777" w:rsidR="000A5CFA" w:rsidRPr="00490DCE" w:rsidRDefault="000A5CFA" w:rsidP="00C36262">
            <w:pPr>
              <w:rPr>
                <w:rFonts w:cs="Arial"/>
              </w:rPr>
            </w:pPr>
            <w:r w:rsidRPr="00490DCE">
              <w:rPr>
                <w:rFonts w:cs="Arial"/>
              </w:rPr>
              <w:t>Energy Efficiency Opportunities</w:t>
            </w:r>
          </w:p>
        </w:tc>
      </w:tr>
      <w:tr w:rsidR="000A5CFA" w:rsidRPr="00490DCE" w14:paraId="1D4A9BBD"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068FE6EC" w14:textId="77777777" w:rsidR="000A5CFA" w:rsidRPr="00490DCE" w:rsidRDefault="000A5CFA" w:rsidP="00C36262">
            <w:pPr>
              <w:rPr>
                <w:rFonts w:cs="Arial"/>
              </w:rPr>
            </w:pPr>
            <w:r w:rsidRPr="00490DCE">
              <w:rPr>
                <w:rFonts w:cs="Arial"/>
              </w:rPr>
              <w:t>ESS</w:t>
            </w:r>
          </w:p>
        </w:tc>
        <w:tc>
          <w:tcPr>
            <w:tcW w:w="6747" w:type="dxa"/>
            <w:tcBorders>
              <w:top w:val="nil"/>
              <w:left w:val="nil"/>
              <w:bottom w:val="nil"/>
              <w:right w:val="nil"/>
            </w:tcBorders>
            <w:tcMar>
              <w:top w:w="57" w:type="dxa"/>
              <w:left w:w="85" w:type="dxa"/>
              <w:bottom w:w="57" w:type="dxa"/>
              <w:right w:w="85" w:type="dxa"/>
            </w:tcMar>
          </w:tcPr>
          <w:p w14:paraId="599AA8CD" w14:textId="77777777" w:rsidR="000A5CFA" w:rsidRPr="00490DCE" w:rsidRDefault="000A5CFA" w:rsidP="00C36262">
            <w:pPr>
              <w:rPr>
                <w:rFonts w:cs="Arial"/>
              </w:rPr>
            </w:pPr>
            <w:r w:rsidRPr="00490DCE">
              <w:rPr>
                <w:rFonts w:cs="Arial"/>
              </w:rPr>
              <w:t>Employee Share Schemes</w:t>
            </w:r>
          </w:p>
        </w:tc>
      </w:tr>
      <w:tr w:rsidR="000A5CFA" w:rsidRPr="00490DCE" w14:paraId="5FCAB30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2455E47" w14:textId="77777777" w:rsidR="000A5CFA" w:rsidRPr="00490DCE" w:rsidRDefault="000A5CFA" w:rsidP="00C36262">
            <w:pPr>
              <w:rPr>
                <w:rFonts w:cs="Arial"/>
              </w:rPr>
            </w:pPr>
            <w:r w:rsidRPr="00490DCE">
              <w:rPr>
                <w:rFonts w:cs="Arial"/>
              </w:rPr>
              <w:t>EU</w:t>
            </w:r>
          </w:p>
        </w:tc>
        <w:tc>
          <w:tcPr>
            <w:tcW w:w="6747" w:type="dxa"/>
            <w:tcBorders>
              <w:top w:val="nil"/>
              <w:left w:val="nil"/>
              <w:bottom w:val="nil"/>
              <w:right w:val="nil"/>
            </w:tcBorders>
            <w:tcMar>
              <w:top w:w="57" w:type="dxa"/>
              <w:left w:w="85" w:type="dxa"/>
              <w:bottom w:w="57" w:type="dxa"/>
              <w:right w:w="85" w:type="dxa"/>
            </w:tcMar>
          </w:tcPr>
          <w:p w14:paraId="4A3EA19C" w14:textId="77777777" w:rsidR="000A5CFA" w:rsidRPr="00490DCE" w:rsidRDefault="000A5CFA" w:rsidP="00C36262">
            <w:pPr>
              <w:rPr>
                <w:rFonts w:cs="Arial"/>
              </w:rPr>
            </w:pPr>
            <w:r w:rsidRPr="00490DCE">
              <w:rPr>
                <w:rFonts w:cs="Arial"/>
              </w:rPr>
              <w:t>European Union</w:t>
            </w:r>
          </w:p>
        </w:tc>
      </w:tr>
      <w:tr w:rsidR="000A5CFA" w:rsidRPr="00490DCE" w14:paraId="33975D12"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E427605" w14:textId="77777777" w:rsidR="000A5CFA" w:rsidRPr="00490DCE" w:rsidRDefault="000A5CFA" w:rsidP="00C36262">
            <w:pPr>
              <w:rPr>
                <w:rFonts w:cs="Arial"/>
              </w:rPr>
            </w:pPr>
            <w:r w:rsidRPr="00490DCE">
              <w:rPr>
                <w:rFonts w:cs="Arial"/>
              </w:rPr>
              <w:t>Finance</w:t>
            </w:r>
          </w:p>
        </w:tc>
        <w:tc>
          <w:tcPr>
            <w:tcW w:w="6747" w:type="dxa"/>
            <w:tcBorders>
              <w:top w:val="nil"/>
              <w:left w:val="nil"/>
              <w:bottom w:val="nil"/>
              <w:right w:val="nil"/>
            </w:tcBorders>
            <w:tcMar>
              <w:top w:w="57" w:type="dxa"/>
              <w:left w:w="85" w:type="dxa"/>
              <w:bottom w:w="57" w:type="dxa"/>
              <w:right w:w="85" w:type="dxa"/>
            </w:tcMar>
          </w:tcPr>
          <w:p w14:paraId="56B6884A" w14:textId="77777777" w:rsidR="000A5CFA" w:rsidRPr="00490DCE" w:rsidRDefault="000A5CFA" w:rsidP="00C36262">
            <w:pPr>
              <w:rPr>
                <w:rFonts w:cs="Arial"/>
              </w:rPr>
            </w:pPr>
            <w:r w:rsidRPr="00490DCE">
              <w:rPr>
                <w:rFonts w:cs="Arial"/>
              </w:rPr>
              <w:t>Department of Finance and Deregulation</w:t>
            </w:r>
          </w:p>
        </w:tc>
      </w:tr>
      <w:tr w:rsidR="000A5CFA" w:rsidRPr="00490DCE" w14:paraId="2137AAFA"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0DA3B61" w14:textId="77777777" w:rsidR="000A5CFA" w:rsidRPr="00490DCE" w:rsidRDefault="000A5CFA" w:rsidP="00C36262">
            <w:pPr>
              <w:rPr>
                <w:rFonts w:cs="Arial"/>
              </w:rPr>
            </w:pPr>
            <w:r w:rsidRPr="00490DCE">
              <w:rPr>
                <w:rFonts w:cs="Arial"/>
              </w:rPr>
              <w:t>HNS</w:t>
            </w:r>
          </w:p>
        </w:tc>
        <w:tc>
          <w:tcPr>
            <w:tcW w:w="6747" w:type="dxa"/>
            <w:tcBorders>
              <w:top w:val="nil"/>
              <w:left w:val="nil"/>
              <w:bottom w:val="nil"/>
              <w:right w:val="nil"/>
            </w:tcBorders>
            <w:tcMar>
              <w:top w:w="57" w:type="dxa"/>
              <w:left w:w="85" w:type="dxa"/>
              <w:bottom w:w="57" w:type="dxa"/>
              <w:right w:w="85" w:type="dxa"/>
            </w:tcMar>
          </w:tcPr>
          <w:p w14:paraId="5F24C8C9" w14:textId="77777777" w:rsidR="000A5CFA" w:rsidRPr="00490DCE" w:rsidRDefault="000A5CFA" w:rsidP="00C36262">
            <w:pPr>
              <w:rPr>
                <w:rFonts w:cs="Arial"/>
              </w:rPr>
            </w:pPr>
            <w:r w:rsidRPr="00490DCE">
              <w:rPr>
                <w:rFonts w:cs="Arial"/>
              </w:rPr>
              <w:t>Hazardous and Noxious Substances</w:t>
            </w:r>
          </w:p>
        </w:tc>
      </w:tr>
      <w:tr w:rsidR="000A5CFA" w:rsidRPr="00490DCE" w14:paraId="14818B46"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FA6F822" w14:textId="77777777" w:rsidR="000A5CFA" w:rsidRPr="00490DCE" w:rsidRDefault="000A5CFA" w:rsidP="00C36262">
            <w:pPr>
              <w:rPr>
                <w:rFonts w:cs="Arial"/>
              </w:rPr>
            </w:pPr>
            <w:r w:rsidRPr="00490DCE">
              <w:rPr>
                <w:rFonts w:cs="Arial"/>
              </w:rPr>
              <w:t>LIA</w:t>
            </w:r>
          </w:p>
        </w:tc>
        <w:tc>
          <w:tcPr>
            <w:tcW w:w="6747" w:type="dxa"/>
            <w:tcBorders>
              <w:top w:val="nil"/>
              <w:left w:val="nil"/>
              <w:bottom w:val="nil"/>
              <w:right w:val="nil"/>
            </w:tcBorders>
            <w:tcMar>
              <w:top w:w="57" w:type="dxa"/>
              <w:left w:w="85" w:type="dxa"/>
              <w:bottom w:w="57" w:type="dxa"/>
              <w:right w:w="85" w:type="dxa"/>
            </w:tcMar>
          </w:tcPr>
          <w:p w14:paraId="738A1CD8" w14:textId="77777777" w:rsidR="000A5CFA" w:rsidRPr="009F5D20" w:rsidRDefault="000A5CFA" w:rsidP="00C36262">
            <w:pPr>
              <w:rPr>
                <w:rFonts w:cs="Arial"/>
                <w:i/>
              </w:rPr>
            </w:pPr>
            <w:r w:rsidRPr="009F5D20">
              <w:rPr>
                <w:rStyle w:val="italic"/>
                <w:rFonts w:cs="Arial"/>
                <w:i/>
              </w:rPr>
              <w:t>Legislative Instruments Act 2003</w:t>
            </w:r>
          </w:p>
        </w:tc>
      </w:tr>
      <w:tr w:rsidR="000A5CFA" w:rsidRPr="00490DCE" w14:paraId="55783C79"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48C8B932" w14:textId="77777777" w:rsidR="000A5CFA" w:rsidRPr="00490DCE" w:rsidRDefault="000A5CFA" w:rsidP="00C36262">
            <w:pPr>
              <w:rPr>
                <w:rFonts w:cs="Arial"/>
              </w:rPr>
            </w:pPr>
            <w:r w:rsidRPr="00490DCE">
              <w:rPr>
                <w:rFonts w:cs="Arial"/>
              </w:rPr>
              <w:lastRenderedPageBreak/>
              <w:t>NBN</w:t>
            </w:r>
          </w:p>
        </w:tc>
        <w:tc>
          <w:tcPr>
            <w:tcW w:w="6747" w:type="dxa"/>
            <w:tcBorders>
              <w:top w:val="nil"/>
              <w:left w:val="nil"/>
              <w:bottom w:val="nil"/>
              <w:right w:val="nil"/>
            </w:tcBorders>
            <w:tcMar>
              <w:top w:w="57" w:type="dxa"/>
              <w:left w:w="85" w:type="dxa"/>
              <w:bottom w:w="57" w:type="dxa"/>
              <w:right w:w="85" w:type="dxa"/>
            </w:tcMar>
          </w:tcPr>
          <w:p w14:paraId="577598EA" w14:textId="77777777" w:rsidR="000A5CFA" w:rsidRPr="00490DCE" w:rsidRDefault="000A5CFA" w:rsidP="00C36262">
            <w:pPr>
              <w:rPr>
                <w:rFonts w:cs="Arial"/>
              </w:rPr>
            </w:pPr>
            <w:r w:rsidRPr="00490DCE">
              <w:rPr>
                <w:rFonts w:cs="Arial"/>
              </w:rPr>
              <w:t>National Broadband Network</w:t>
            </w:r>
          </w:p>
        </w:tc>
      </w:tr>
      <w:tr w:rsidR="000A5CFA" w:rsidRPr="00490DCE" w14:paraId="298D9730"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00B4C447" w14:textId="77777777" w:rsidR="000A5CFA" w:rsidRPr="00490DCE" w:rsidRDefault="000A5CFA" w:rsidP="00C36262">
            <w:pPr>
              <w:rPr>
                <w:rFonts w:cs="Arial"/>
              </w:rPr>
            </w:pPr>
            <w:r w:rsidRPr="00490DCE">
              <w:rPr>
                <w:rFonts w:cs="Arial"/>
              </w:rPr>
              <w:t>NDIS</w:t>
            </w:r>
          </w:p>
        </w:tc>
        <w:tc>
          <w:tcPr>
            <w:tcW w:w="6747" w:type="dxa"/>
            <w:tcBorders>
              <w:top w:val="nil"/>
              <w:left w:val="nil"/>
              <w:bottom w:val="nil"/>
              <w:right w:val="nil"/>
            </w:tcBorders>
            <w:tcMar>
              <w:top w:w="57" w:type="dxa"/>
              <w:left w:w="85" w:type="dxa"/>
              <w:bottom w:w="57" w:type="dxa"/>
              <w:right w:w="85" w:type="dxa"/>
            </w:tcMar>
          </w:tcPr>
          <w:p w14:paraId="31DA94DC" w14:textId="77777777" w:rsidR="000A5CFA" w:rsidRPr="00490DCE" w:rsidRDefault="000A5CFA" w:rsidP="00C36262">
            <w:pPr>
              <w:rPr>
                <w:rFonts w:cs="Arial"/>
              </w:rPr>
            </w:pPr>
            <w:r w:rsidRPr="00490DCE">
              <w:rPr>
                <w:rFonts w:cs="Arial"/>
              </w:rPr>
              <w:t>National Disability Insurance Scheme</w:t>
            </w:r>
          </w:p>
        </w:tc>
      </w:tr>
      <w:tr w:rsidR="000A5CFA" w:rsidRPr="00490DCE" w14:paraId="348CF271"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37EDD48F" w14:textId="77777777" w:rsidR="000A5CFA" w:rsidRPr="00490DCE" w:rsidRDefault="000A5CFA" w:rsidP="00C36262">
            <w:pPr>
              <w:rPr>
                <w:rFonts w:cs="Arial"/>
              </w:rPr>
            </w:pPr>
            <w:r w:rsidRPr="00490DCE">
              <w:rPr>
                <w:rFonts w:cs="Arial"/>
              </w:rPr>
              <w:t>NEPC</w:t>
            </w:r>
          </w:p>
        </w:tc>
        <w:tc>
          <w:tcPr>
            <w:tcW w:w="6747" w:type="dxa"/>
            <w:tcBorders>
              <w:top w:val="nil"/>
              <w:left w:val="nil"/>
              <w:bottom w:val="nil"/>
              <w:right w:val="nil"/>
            </w:tcBorders>
            <w:tcMar>
              <w:top w:w="57" w:type="dxa"/>
              <w:left w:w="85" w:type="dxa"/>
              <w:bottom w:w="57" w:type="dxa"/>
              <w:right w:w="85" w:type="dxa"/>
            </w:tcMar>
          </w:tcPr>
          <w:p w14:paraId="3A00320D" w14:textId="77777777" w:rsidR="000A5CFA" w:rsidRPr="00490DCE" w:rsidRDefault="000A5CFA" w:rsidP="00C36262">
            <w:pPr>
              <w:rPr>
                <w:rFonts w:cs="Arial"/>
              </w:rPr>
            </w:pPr>
            <w:r w:rsidRPr="00490DCE">
              <w:rPr>
                <w:rFonts w:cs="Arial"/>
              </w:rPr>
              <w:t>National Environment Protection Council</w:t>
            </w:r>
          </w:p>
        </w:tc>
      </w:tr>
      <w:tr w:rsidR="000A5CFA" w:rsidRPr="00490DCE" w14:paraId="40D9514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1E3DAB1A" w14:textId="77777777" w:rsidR="000A5CFA" w:rsidRPr="00490DCE" w:rsidRDefault="000A5CFA" w:rsidP="00C36262">
            <w:pPr>
              <w:rPr>
                <w:rFonts w:cs="Arial"/>
              </w:rPr>
            </w:pPr>
            <w:r w:rsidRPr="00490DCE">
              <w:rPr>
                <w:rFonts w:cs="Arial"/>
              </w:rPr>
              <w:t>NEPM</w:t>
            </w:r>
          </w:p>
        </w:tc>
        <w:tc>
          <w:tcPr>
            <w:tcW w:w="6747" w:type="dxa"/>
            <w:tcBorders>
              <w:top w:val="nil"/>
              <w:left w:val="nil"/>
              <w:bottom w:val="nil"/>
              <w:right w:val="nil"/>
            </w:tcBorders>
            <w:tcMar>
              <w:top w:w="57" w:type="dxa"/>
              <w:left w:w="85" w:type="dxa"/>
              <w:bottom w:w="57" w:type="dxa"/>
              <w:right w:w="85" w:type="dxa"/>
            </w:tcMar>
          </w:tcPr>
          <w:p w14:paraId="3ED9B3F3" w14:textId="77777777" w:rsidR="000A5CFA" w:rsidRPr="00490DCE" w:rsidRDefault="000A5CFA" w:rsidP="00C36262">
            <w:pPr>
              <w:rPr>
                <w:rFonts w:cs="Arial"/>
              </w:rPr>
            </w:pPr>
            <w:r w:rsidRPr="00490DCE">
              <w:rPr>
                <w:rFonts w:cs="Arial"/>
              </w:rPr>
              <w:t>National Environment Protection Measures</w:t>
            </w:r>
          </w:p>
        </w:tc>
      </w:tr>
      <w:tr w:rsidR="000A5CFA" w:rsidRPr="00490DCE" w14:paraId="3D46D3E3"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C0F44F7" w14:textId="77777777" w:rsidR="000A5CFA" w:rsidRPr="00490DCE" w:rsidRDefault="000A5CFA" w:rsidP="00C36262">
            <w:pPr>
              <w:rPr>
                <w:rFonts w:cs="Arial"/>
              </w:rPr>
            </w:pPr>
            <w:r w:rsidRPr="00490DCE">
              <w:rPr>
                <w:rFonts w:cs="Arial"/>
              </w:rPr>
              <w:t>NSSB</w:t>
            </w:r>
          </w:p>
        </w:tc>
        <w:tc>
          <w:tcPr>
            <w:tcW w:w="6747" w:type="dxa"/>
            <w:tcBorders>
              <w:top w:val="nil"/>
              <w:left w:val="nil"/>
              <w:bottom w:val="nil"/>
              <w:right w:val="nil"/>
            </w:tcBorders>
            <w:tcMar>
              <w:top w:w="57" w:type="dxa"/>
              <w:left w:w="85" w:type="dxa"/>
              <w:bottom w:w="57" w:type="dxa"/>
              <w:right w:w="85" w:type="dxa"/>
            </w:tcMar>
          </w:tcPr>
          <w:p w14:paraId="20D59877" w14:textId="77777777" w:rsidR="000A5CFA" w:rsidRPr="00490DCE" w:rsidRDefault="000A5CFA" w:rsidP="00C36262">
            <w:pPr>
              <w:rPr>
                <w:rFonts w:cs="Arial"/>
              </w:rPr>
            </w:pPr>
            <w:r w:rsidRPr="00490DCE">
              <w:rPr>
                <w:rFonts w:cs="Arial"/>
              </w:rPr>
              <w:t>National standard-setting body</w:t>
            </w:r>
          </w:p>
        </w:tc>
      </w:tr>
      <w:tr w:rsidR="000A5CFA" w:rsidRPr="00490DCE" w14:paraId="6C9B9B0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13B9051" w14:textId="77777777" w:rsidR="000A5CFA" w:rsidRPr="00490DCE" w:rsidRDefault="000A5CFA" w:rsidP="00C36262">
            <w:pPr>
              <w:rPr>
                <w:rFonts w:cs="Arial"/>
              </w:rPr>
            </w:pPr>
            <w:r w:rsidRPr="00490DCE">
              <w:rPr>
                <w:rFonts w:cs="Arial"/>
              </w:rPr>
              <w:t>OBPR</w:t>
            </w:r>
          </w:p>
        </w:tc>
        <w:tc>
          <w:tcPr>
            <w:tcW w:w="6747" w:type="dxa"/>
            <w:tcBorders>
              <w:top w:val="nil"/>
              <w:left w:val="nil"/>
              <w:bottom w:val="nil"/>
              <w:right w:val="nil"/>
            </w:tcBorders>
            <w:tcMar>
              <w:top w:w="57" w:type="dxa"/>
              <w:left w:w="85" w:type="dxa"/>
              <w:bottom w:w="57" w:type="dxa"/>
              <w:right w:w="85" w:type="dxa"/>
            </w:tcMar>
          </w:tcPr>
          <w:p w14:paraId="451C5FFF" w14:textId="77777777" w:rsidR="000A5CFA" w:rsidRPr="00490DCE" w:rsidRDefault="000A5CFA" w:rsidP="00C36262">
            <w:pPr>
              <w:rPr>
                <w:rFonts w:cs="Arial"/>
              </w:rPr>
            </w:pPr>
            <w:r w:rsidRPr="00490DCE">
              <w:rPr>
                <w:rFonts w:cs="Arial"/>
              </w:rPr>
              <w:t>Office of Best Practice Regulation</w:t>
            </w:r>
          </w:p>
        </w:tc>
      </w:tr>
      <w:tr w:rsidR="000A5CFA" w:rsidRPr="00490DCE" w14:paraId="131AF156"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2897D3EF" w14:textId="77777777" w:rsidR="000A5CFA" w:rsidRPr="00490DCE" w:rsidRDefault="000A5CFA" w:rsidP="00C36262">
            <w:pPr>
              <w:rPr>
                <w:rFonts w:cs="Arial"/>
              </w:rPr>
            </w:pPr>
            <w:r w:rsidRPr="00490DCE">
              <w:rPr>
                <w:rFonts w:cs="Arial"/>
              </w:rPr>
              <w:t>OECD</w:t>
            </w:r>
          </w:p>
        </w:tc>
        <w:tc>
          <w:tcPr>
            <w:tcW w:w="6747" w:type="dxa"/>
            <w:tcBorders>
              <w:top w:val="nil"/>
              <w:left w:val="nil"/>
              <w:bottom w:val="nil"/>
              <w:right w:val="nil"/>
            </w:tcBorders>
            <w:tcMar>
              <w:top w:w="57" w:type="dxa"/>
              <w:left w:w="85" w:type="dxa"/>
              <w:bottom w:w="57" w:type="dxa"/>
              <w:right w:w="85" w:type="dxa"/>
            </w:tcMar>
          </w:tcPr>
          <w:p w14:paraId="63AA30B1" w14:textId="77777777" w:rsidR="000A5CFA" w:rsidRPr="00490DCE" w:rsidRDefault="000A5CFA" w:rsidP="00C36262">
            <w:pPr>
              <w:rPr>
                <w:rFonts w:cs="Arial"/>
              </w:rPr>
            </w:pPr>
            <w:r w:rsidRPr="00490DCE">
              <w:rPr>
                <w:rFonts w:cs="Arial"/>
              </w:rPr>
              <w:t>Organisation for Economic Co-operation and Development</w:t>
            </w:r>
          </w:p>
        </w:tc>
      </w:tr>
      <w:tr w:rsidR="000A5CFA" w:rsidRPr="00490DCE" w14:paraId="1B0A3622"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0BA92D76" w14:textId="77777777" w:rsidR="000A5CFA" w:rsidRPr="00490DCE" w:rsidRDefault="000A5CFA" w:rsidP="00C36262">
            <w:pPr>
              <w:rPr>
                <w:rFonts w:cs="Arial"/>
              </w:rPr>
            </w:pPr>
            <w:r w:rsidRPr="00490DCE">
              <w:rPr>
                <w:rFonts w:cs="Arial"/>
              </w:rPr>
              <w:t>PIR</w:t>
            </w:r>
          </w:p>
        </w:tc>
        <w:tc>
          <w:tcPr>
            <w:tcW w:w="6747" w:type="dxa"/>
            <w:tcBorders>
              <w:top w:val="nil"/>
              <w:left w:val="nil"/>
              <w:bottom w:val="nil"/>
              <w:right w:val="nil"/>
            </w:tcBorders>
            <w:tcMar>
              <w:top w:w="57" w:type="dxa"/>
              <w:left w:w="85" w:type="dxa"/>
              <w:bottom w:w="57" w:type="dxa"/>
              <w:right w:w="85" w:type="dxa"/>
            </w:tcMar>
          </w:tcPr>
          <w:p w14:paraId="7441CAB3" w14:textId="77777777" w:rsidR="000A5CFA" w:rsidRPr="00490DCE" w:rsidRDefault="000A5CFA" w:rsidP="00C36262">
            <w:pPr>
              <w:rPr>
                <w:rFonts w:cs="Arial"/>
              </w:rPr>
            </w:pPr>
            <w:r w:rsidRPr="00490DCE">
              <w:rPr>
                <w:rFonts w:cs="Arial"/>
              </w:rPr>
              <w:t>Post-implementation Review</w:t>
            </w:r>
          </w:p>
        </w:tc>
      </w:tr>
      <w:tr w:rsidR="000A5CFA" w:rsidRPr="00490DCE" w14:paraId="10718A3B"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71CB68A0" w14:textId="77777777" w:rsidR="000A5CFA" w:rsidRPr="00490DCE" w:rsidRDefault="000A5CFA" w:rsidP="00C36262">
            <w:pPr>
              <w:rPr>
                <w:rFonts w:cs="Arial"/>
              </w:rPr>
            </w:pPr>
            <w:r w:rsidRPr="00490DCE">
              <w:rPr>
                <w:rFonts w:cs="Arial"/>
              </w:rPr>
              <w:t>PSM</w:t>
            </w:r>
          </w:p>
        </w:tc>
        <w:tc>
          <w:tcPr>
            <w:tcW w:w="6747" w:type="dxa"/>
            <w:tcBorders>
              <w:top w:val="nil"/>
              <w:left w:val="nil"/>
              <w:bottom w:val="nil"/>
              <w:right w:val="nil"/>
            </w:tcBorders>
            <w:tcMar>
              <w:top w:w="57" w:type="dxa"/>
              <w:left w:w="85" w:type="dxa"/>
              <w:bottom w:w="57" w:type="dxa"/>
              <w:right w:w="85" w:type="dxa"/>
            </w:tcMar>
          </w:tcPr>
          <w:p w14:paraId="2379BDC2" w14:textId="77777777" w:rsidR="000A5CFA" w:rsidRPr="00490DCE" w:rsidRDefault="000A5CFA" w:rsidP="00C36262">
            <w:pPr>
              <w:rPr>
                <w:rFonts w:cs="Arial"/>
              </w:rPr>
            </w:pPr>
            <w:r w:rsidRPr="00490DCE">
              <w:rPr>
                <w:rFonts w:cs="Arial"/>
              </w:rPr>
              <w:t>Public Service Medal</w:t>
            </w:r>
          </w:p>
        </w:tc>
      </w:tr>
      <w:tr w:rsidR="000A5CFA" w:rsidRPr="00490DCE" w14:paraId="5AB1103F"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6ED0A93C" w14:textId="77777777" w:rsidR="000A5CFA" w:rsidRPr="00490DCE" w:rsidRDefault="000A5CFA" w:rsidP="00C36262">
            <w:pPr>
              <w:rPr>
                <w:rFonts w:cs="Arial"/>
              </w:rPr>
            </w:pPr>
            <w:r w:rsidRPr="00490DCE">
              <w:rPr>
                <w:rFonts w:cs="Arial"/>
              </w:rPr>
              <w:t>RIA</w:t>
            </w:r>
          </w:p>
        </w:tc>
        <w:tc>
          <w:tcPr>
            <w:tcW w:w="6747" w:type="dxa"/>
            <w:tcBorders>
              <w:top w:val="nil"/>
              <w:left w:val="nil"/>
              <w:bottom w:val="nil"/>
              <w:right w:val="nil"/>
            </w:tcBorders>
            <w:tcMar>
              <w:top w:w="57" w:type="dxa"/>
              <w:left w:w="85" w:type="dxa"/>
              <w:bottom w:w="57" w:type="dxa"/>
              <w:right w:w="85" w:type="dxa"/>
            </w:tcMar>
          </w:tcPr>
          <w:p w14:paraId="55F95EA7" w14:textId="77777777" w:rsidR="000A5CFA" w:rsidRPr="00490DCE" w:rsidRDefault="000A5CFA" w:rsidP="00C36262">
            <w:pPr>
              <w:rPr>
                <w:rFonts w:cs="Arial"/>
              </w:rPr>
            </w:pPr>
            <w:r w:rsidRPr="00490DCE">
              <w:rPr>
                <w:rFonts w:cs="Arial"/>
              </w:rPr>
              <w:t>Regulatory Impact Analysis</w:t>
            </w:r>
          </w:p>
        </w:tc>
      </w:tr>
      <w:tr w:rsidR="000A5CFA" w:rsidRPr="00490DCE" w14:paraId="0A9EA681"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55C92A16" w14:textId="77777777" w:rsidR="000A5CFA" w:rsidRPr="00490DCE" w:rsidRDefault="000A5CFA" w:rsidP="00C36262">
            <w:pPr>
              <w:rPr>
                <w:rFonts w:cs="Arial"/>
              </w:rPr>
            </w:pPr>
            <w:r w:rsidRPr="00490DCE">
              <w:rPr>
                <w:rFonts w:cs="Arial"/>
              </w:rPr>
              <w:t>RIS</w:t>
            </w:r>
          </w:p>
        </w:tc>
        <w:tc>
          <w:tcPr>
            <w:tcW w:w="6747" w:type="dxa"/>
            <w:tcBorders>
              <w:top w:val="nil"/>
              <w:left w:val="nil"/>
              <w:bottom w:val="nil"/>
              <w:right w:val="nil"/>
            </w:tcBorders>
            <w:tcMar>
              <w:top w:w="57" w:type="dxa"/>
              <w:left w:w="85" w:type="dxa"/>
              <w:bottom w:w="57" w:type="dxa"/>
              <w:right w:w="85" w:type="dxa"/>
            </w:tcMar>
          </w:tcPr>
          <w:p w14:paraId="216068BC" w14:textId="77777777" w:rsidR="000A5CFA" w:rsidRPr="00490DCE" w:rsidRDefault="000A5CFA" w:rsidP="00C36262">
            <w:pPr>
              <w:rPr>
                <w:rFonts w:cs="Arial"/>
              </w:rPr>
            </w:pPr>
            <w:r w:rsidRPr="00490DCE">
              <w:rPr>
                <w:rFonts w:cs="Arial"/>
              </w:rPr>
              <w:t>Regulation Impact Statement</w:t>
            </w:r>
          </w:p>
        </w:tc>
      </w:tr>
      <w:tr w:rsidR="000A5CFA" w:rsidRPr="00490DCE" w14:paraId="5679DF05" w14:textId="77777777" w:rsidTr="00C36262">
        <w:trPr>
          <w:trHeight w:val="60"/>
        </w:trPr>
        <w:tc>
          <w:tcPr>
            <w:tcW w:w="2410" w:type="dxa"/>
            <w:tcBorders>
              <w:top w:val="nil"/>
              <w:left w:val="nil"/>
              <w:bottom w:val="nil"/>
              <w:right w:val="nil"/>
            </w:tcBorders>
            <w:tcMar>
              <w:top w:w="57" w:type="dxa"/>
              <w:left w:w="85" w:type="dxa"/>
              <w:bottom w:w="57" w:type="dxa"/>
              <w:right w:w="0" w:type="dxa"/>
            </w:tcMar>
          </w:tcPr>
          <w:p w14:paraId="03664ACE" w14:textId="77777777" w:rsidR="000A5CFA" w:rsidRPr="00490DCE" w:rsidRDefault="000A5CFA" w:rsidP="00C36262">
            <w:pPr>
              <w:rPr>
                <w:rFonts w:cs="Arial"/>
              </w:rPr>
            </w:pPr>
            <w:r w:rsidRPr="00490DCE">
              <w:rPr>
                <w:rFonts w:cs="Arial"/>
                <w:spacing w:val="-4"/>
              </w:rPr>
              <w:t>The Handbook</w:t>
            </w:r>
          </w:p>
        </w:tc>
        <w:tc>
          <w:tcPr>
            <w:tcW w:w="6747" w:type="dxa"/>
            <w:tcBorders>
              <w:top w:val="nil"/>
              <w:left w:val="nil"/>
              <w:bottom w:val="nil"/>
              <w:right w:val="nil"/>
            </w:tcBorders>
            <w:tcMar>
              <w:top w:w="57" w:type="dxa"/>
              <w:left w:w="85" w:type="dxa"/>
              <w:bottom w:w="57" w:type="dxa"/>
              <w:right w:w="85" w:type="dxa"/>
            </w:tcMar>
          </w:tcPr>
          <w:p w14:paraId="06506D33" w14:textId="77777777" w:rsidR="000A5CFA" w:rsidRPr="009F5D20" w:rsidRDefault="000A5CFA" w:rsidP="00C36262">
            <w:pPr>
              <w:rPr>
                <w:rFonts w:cs="Arial"/>
                <w:i/>
              </w:rPr>
            </w:pPr>
            <w:r w:rsidRPr="009F5D20">
              <w:rPr>
                <w:rStyle w:val="italic"/>
                <w:rFonts w:cs="Arial"/>
                <w:i/>
              </w:rPr>
              <w:t>Best Practice Regulation Handbook</w:t>
            </w:r>
          </w:p>
        </w:tc>
      </w:tr>
      <w:tr w:rsidR="000A5CFA" w:rsidRPr="00490DCE" w14:paraId="631F87F4"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1C6DA413" w14:textId="77777777" w:rsidR="000A5CFA" w:rsidRPr="00490DCE" w:rsidRDefault="000A5CFA" w:rsidP="00C36262">
            <w:pPr>
              <w:rPr>
                <w:rFonts w:cs="Arial"/>
              </w:rPr>
            </w:pPr>
            <w:r w:rsidRPr="00490DCE">
              <w:rPr>
                <w:rFonts w:cs="Arial"/>
              </w:rPr>
              <w:t>Treasury</w:t>
            </w:r>
          </w:p>
        </w:tc>
        <w:tc>
          <w:tcPr>
            <w:tcW w:w="6747" w:type="dxa"/>
            <w:tcBorders>
              <w:top w:val="nil"/>
              <w:left w:val="nil"/>
              <w:bottom w:val="nil"/>
              <w:right w:val="nil"/>
            </w:tcBorders>
            <w:tcMar>
              <w:top w:w="57" w:type="dxa"/>
              <w:left w:w="85" w:type="dxa"/>
              <w:bottom w:w="57" w:type="dxa"/>
              <w:right w:w="85" w:type="dxa"/>
            </w:tcMar>
          </w:tcPr>
          <w:p w14:paraId="353C3DE7" w14:textId="77777777" w:rsidR="000A5CFA" w:rsidRPr="00490DCE" w:rsidRDefault="000A5CFA" w:rsidP="00C36262">
            <w:pPr>
              <w:rPr>
                <w:rFonts w:cs="Arial"/>
              </w:rPr>
            </w:pPr>
            <w:r w:rsidRPr="00490DCE">
              <w:rPr>
                <w:rFonts w:cs="Arial"/>
              </w:rPr>
              <w:t>Department of The Treasury</w:t>
            </w:r>
          </w:p>
        </w:tc>
      </w:tr>
      <w:tr w:rsidR="000A5CFA" w:rsidRPr="00490DCE" w14:paraId="4F9D3C46" w14:textId="77777777" w:rsidTr="00C36262">
        <w:trPr>
          <w:trHeight w:val="60"/>
        </w:trPr>
        <w:tc>
          <w:tcPr>
            <w:tcW w:w="2410" w:type="dxa"/>
            <w:tcBorders>
              <w:top w:val="nil"/>
              <w:left w:val="nil"/>
              <w:bottom w:val="nil"/>
              <w:right w:val="nil"/>
            </w:tcBorders>
            <w:tcMar>
              <w:top w:w="57" w:type="dxa"/>
              <w:left w:w="85" w:type="dxa"/>
              <w:bottom w:w="57" w:type="dxa"/>
              <w:right w:w="85" w:type="dxa"/>
            </w:tcMar>
          </w:tcPr>
          <w:p w14:paraId="4BAF8EF4" w14:textId="77777777" w:rsidR="000A5CFA" w:rsidRPr="00490DCE" w:rsidRDefault="000A5CFA" w:rsidP="00C36262">
            <w:pPr>
              <w:rPr>
                <w:rFonts w:cs="Arial"/>
              </w:rPr>
            </w:pPr>
            <w:r w:rsidRPr="00490DCE">
              <w:rPr>
                <w:rFonts w:cs="Arial"/>
              </w:rPr>
              <w:t>VET</w:t>
            </w:r>
          </w:p>
        </w:tc>
        <w:tc>
          <w:tcPr>
            <w:tcW w:w="6747" w:type="dxa"/>
            <w:tcBorders>
              <w:top w:val="nil"/>
              <w:left w:val="nil"/>
              <w:bottom w:val="nil"/>
              <w:right w:val="nil"/>
            </w:tcBorders>
            <w:tcMar>
              <w:top w:w="57" w:type="dxa"/>
              <w:left w:w="85" w:type="dxa"/>
              <w:bottom w:w="57" w:type="dxa"/>
              <w:right w:w="85" w:type="dxa"/>
            </w:tcMar>
          </w:tcPr>
          <w:p w14:paraId="290C1563" w14:textId="77777777" w:rsidR="000A5CFA" w:rsidRPr="00490DCE" w:rsidRDefault="000A5CFA" w:rsidP="00C36262">
            <w:pPr>
              <w:rPr>
                <w:rFonts w:cs="Arial"/>
              </w:rPr>
            </w:pPr>
            <w:r w:rsidRPr="00490DCE">
              <w:rPr>
                <w:rFonts w:cs="Arial"/>
              </w:rPr>
              <w:t>Vocational Education and Training</w:t>
            </w:r>
          </w:p>
        </w:tc>
      </w:tr>
    </w:tbl>
    <w:p w14:paraId="5E1E23F1" w14:textId="77777777" w:rsidR="000A5CFA" w:rsidRPr="00490DCE" w:rsidRDefault="000A5CFA">
      <w:pPr>
        <w:pStyle w:val="body"/>
        <w:rPr>
          <w:rFonts w:ascii="Arial" w:hAnsi="Arial" w:cs="Arial"/>
          <w:color w:val="auto"/>
          <w:sz w:val="22"/>
          <w:szCs w:val="22"/>
          <w:lang w:val="en-AU"/>
        </w:rPr>
      </w:pPr>
    </w:p>
    <w:p w14:paraId="4555BE93" w14:textId="77777777" w:rsidR="000A5CFA" w:rsidRPr="00490DCE" w:rsidRDefault="00E804F7" w:rsidP="00E804F7">
      <w:pPr>
        <w:pStyle w:val="Heading2"/>
        <w:rPr>
          <w:rFonts w:cs="Arial"/>
        </w:rPr>
      </w:pPr>
      <w:r w:rsidRPr="00490DCE">
        <w:rPr>
          <w:rFonts w:cs="Arial"/>
        </w:rPr>
        <w:br w:type="column"/>
      </w:r>
      <w:r w:rsidR="000A5CFA" w:rsidRPr="00490DCE">
        <w:rPr>
          <w:rFonts w:cs="Arial"/>
        </w:rPr>
        <w:lastRenderedPageBreak/>
        <w:t>Foreword</w:t>
      </w:r>
    </w:p>
    <w:p w14:paraId="057CE812" w14:textId="77777777" w:rsidR="000A5CFA" w:rsidRPr="00490DCE" w:rsidRDefault="000A5CFA" w:rsidP="00C36262">
      <w:pPr>
        <w:rPr>
          <w:rFonts w:cs="Arial"/>
        </w:rPr>
      </w:pPr>
      <w:r w:rsidRPr="00490DCE">
        <w:rPr>
          <w:rFonts w:cs="Arial"/>
        </w:rPr>
        <w:t>The Office of Best Practice Regulation (OBPR) is required to report annually on compliance with the Australian Government and the Council of Australian Governments (COAG) best practice regulation requirements.</w:t>
      </w:r>
    </w:p>
    <w:p w14:paraId="23DFA5C6" w14:textId="77777777" w:rsidR="000A5CFA" w:rsidRPr="00490DCE" w:rsidRDefault="000A5CFA" w:rsidP="00C36262">
      <w:pPr>
        <w:rPr>
          <w:rFonts w:cs="Arial"/>
        </w:rPr>
      </w:pPr>
      <w:r w:rsidRPr="00490DCE">
        <w:rPr>
          <w:rFonts w:cs="Arial"/>
        </w:rPr>
        <w:t>As part of the Government’s deregulation agenda, the OBPR has shifted to the Department of the Prime Minister and Cabinet. While the OBPR operates within the Department of the Prime Minister and Cabinet, the decisions the Executive Director makes in relation to compliance are independent of the Department, the Prime Minister and the Parliamentary Secretary to the Prime Minister.</w:t>
      </w:r>
    </w:p>
    <w:p w14:paraId="55E76F5A" w14:textId="77777777" w:rsidR="000A5CFA" w:rsidRPr="00490DCE" w:rsidRDefault="000A5CFA" w:rsidP="00C36262">
      <w:pPr>
        <w:rPr>
          <w:rFonts w:cs="Arial"/>
        </w:rPr>
      </w:pPr>
      <w:r w:rsidRPr="00490DCE">
        <w:rPr>
          <w:rFonts w:cs="Arial"/>
        </w:rPr>
        <w:t>This report provides information on compliance by Austra</w:t>
      </w:r>
      <w:r w:rsidR="00C36262" w:rsidRPr="00490DCE">
        <w:rPr>
          <w:rFonts w:cs="Arial"/>
        </w:rPr>
        <w:t>lian Government departments and a</w:t>
      </w:r>
      <w:r w:rsidRPr="00490DCE">
        <w:rPr>
          <w:rFonts w:cs="Arial"/>
        </w:rPr>
        <w:t xml:space="preserve">gencies, COAG councils </w:t>
      </w:r>
      <w:r w:rsidRPr="00490DCE">
        <w:t>and national stand</w:t>
      </w:r>
      <w:r w:rsidR="00490DCE">
        <w:t>ard-</w:t>
      </w:r>
      <w:r w:rsidRPr="00490DCE">
        <w:t>setting bodies. The</w:t>
      </w:r>
      <w:r w:rsidRPr="00490DCE">
        <w:rPr>
          <w:rFonts w:cs="Arial"/>
        </w:rPr>
        <w:t xml:space="preserve"> report is prepared by the staff of the OBPR, in cooperation with relevant agencies, authorised by the Executive Director of the OBPR and presented to the Prime Minister and Parliamentary Secretary to the Prime Minister as a final report. As an independent assessment of compliance by the Executive Director of the OBPR, this report is an important element of best practice regulation processes by both the Australian Government and COAG. Its publication also aids public transparency.</w:t>
      </w:r>
    </w:p>
    <w:p w14:paraId="2AA7A20B" w14:textId="4C958032" w:rsidR="000A5CFA" w:rsidRPr="00490DCE" w:rsidRDefault="000A5CFA" w:rsidP="00C36262">
      <w:pPr>
        <w:rPr>
          <w:rFonts w:cs="Arial"/>
        </w:rPr>
      </w:pPr>
      <w:r w:rsidRPr="00490DCE">
        <w:rPr>
          <w:rFonts w:cs="Arial"/>
        </w:rPr>
        <w:t>The OBPR is grateful for the extensive cooperation it has received during the year from departments and agencies, COAG councils and national standard-setting bodies. I am encouraged by the level of compliance with the RIS requirements in 2012–13, which is at its highest for several years. Engagement with the OBPR early in the RIS process has been a factor in the downward trend of non</w:t>
      </w:r>
      <w:r w:rsidR="00F43F6A">
        <w:rPr>
          <w:rFonts w:ascii="American Typewriter Light" w:hAnsi="American Typewriter Light" w:cs="American Typewriter Light"/>
        </w:rPr>
        <w:t>-</w:t>
      </w:r>
      <w:r w:rsidRPr="00490DCE">
        <w:rPr>
          <w:rFonts w:cs="Arial"/>
        </w:rPr>
        <w:t>compliance.</w:t>
      </w:r>
    </w:p>
    <w:p w14:paraId="7C004B5F" w14:textId="77777777" w:rsidR="000A5CFA" w:rsidRPr="00490DCE" w:rsidRDefault="000A5CFA" w:rsidP="00C36262">
      <w:pPr>
        <w:rPr>
          <w:rFonts w:cs="Arial"/>
        </w:rPr>
      </w:pPr>
      <w:r w:rsidRPr="00490DCE">
        <w:rPr>
          <w:rFonts w:cs="Arial"/>
        </w:rPr>
        <w:t xml:space="preserve">I would also like to thank the many departments and agencies, and business and </w:t>
      </w:r>
      <w:r w:rsidRPr="00490DCE">
        <w:t>not</w:t>
      </w:r>
      <w:r w:rsidR="00490DCE" w:rsidRPr="00490DCE">
        <w:t>-</w:t>
      </w:r>
      <w:r w:rsidRPr="00490DCE">
        <w:t>for-profit</w:t>
      </w:r>
      <w:r w:rsidRPr="00490DCE">
        <w:rPr>
          <w:rFonts w:cs="Arial"/>
        </w:rPr>
        <w:t xml:space="preserve"> groups who have provided input into the development of the new RIS Handbook which commenced in July 2013. This has been a substantial task for the OBPR and the input received has greatly assisted this development.</w:t>
      </w:r>
    </w:p>
    <w:p w14:paraId="32587160" w14:textId="77777777" w:rsidR="000A5CFA" w:rsidRPr="00490DCE" w:rsidRDefault="000A5CFA" w:rsidP="00C36262">
      <w:pPr>
        <w:pStyle w:val="Quote"/>
        <w:rPr>
          <w:rStyle w:val="Strong"/>
          <w:rFonts w:cs="Arial"/>
          <w:color w:val="auto"/>
        </w:rPr>
      </w:pPr>
      <w:r w:rsidRPr="00490DCE">
        <w:rPr>
          <w:rStyle w:val="Strong"/>
          <w:rFonts w:cs="Arial"/>
          <w:color w:val="auto"/>
        </w:rPr>
        <w:t>Jason McNamara</w:t>
      </w:r>
    </w:p>
    <w:p w14:paraId="06023F14" w14:textId="77777777" w:rsidR="000A5CFA" w:rsidRPr="00490DCE" w:rsidRDefault="000A5CFA" w:rsidP="00C36262">
      <w:pPr>
        <w:pStyle w:val="Quote"/>
        <w:rPr>
          <w:rStyle w:val="Strong"/>
          <w:rFonts w:cs="Arial"/>
          <w:color w:val="auto"/>
        </w:rPr>
      </w:pPr>
      <w:r w:rsidRPr="00490DCE">
        <w:rPr>
          <w:rStyle w:val="Strong"/>
          <w:rFonts w:cs="Arial"/>
          <w:color w:val="auto"/>
        </w:rPr>
        <w:t>Executive Director</w:t>
      </w:r>
    </w:p>
    <w:p w14:paraId="1F3A9585" w14:textId="77777777" w:rsidR="000A5CFA" w:rsidRPr="00490DCE" w:rsidRDefault="000A5CFA" w:rsidP="00C36262">
      <w:pPr>
        <w:pStyle w:val="Quote"/>
        <w:rPr>
          <w:rStyle w:val="Strong"/>
          <w:rFonts w:cs="Arial"/>
          <w:color w:val="auto"/>
        </w:rPr>
      </w:pPr>
      <w:r w:rsidRPr="00490DCE">
        <w:rPr>
          <w:rStyle w:val="Strong"/>
          <w:rFonts w:cs="Arial"/>
          <w:color w:val="auto"/>
        </w:rPr>
        <w:t>Office of Best Practice Regulation</w:t>
      </w:r>
    </w:p>
    <w:p w14:paraId="0103A7B5" w14:textId="69CDAD17" w:rsidR="000A5CFA" w:rsidRPr="006B12DD" w:rsidRDefault="000A5CFA" w:rsidP="006B12DD">
      <w:pPr>
        <w:pStyle w:val="Quote"/>
        <w:rPr>
          <w:rFonts w:cs="Arial"/>
          <w:b/>
          <w:bCs/>
          <w:color w:val="auto"/>
        </w:rPr>
      </w:pPr>
      <w:r w:rsidRPr="00490DCE">
        <w:rPr>
          <w:rStyle w:val="Strong"/>
          <w:rFonts w:cs="Arial"/>
          <w:color w:val="auto"/>
        </w:rPr>
        <w:t>January 2014</w:t>
      </w:r>
      <w:bookmarkStart w:id="0" w:name="_GoBack"/>
      <w:bookmarkEnd w:id="0"/>
    </w:p>
    <w:p w14:paraId="04457AB6"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1. Embedding Best Practice Regulation</w:t>
      </w:r>
    </w:p>
    <w:p w14:paraId="7881552F" w14:textId="77777777" w:rsidR="000A5CFA" w:rsidRPr="00490DCE" w:rsidRDefault="000A5CFA" w:rsidP="00C36262">
      <w:pPr>
        <w:rPr>
          <w:rFonts w:cs="Arial"/>
        </w:rPr>
      </w:pPr>
      <w:r w:rsidRPr="00490DCE">
        <w:rPr>
          <w:rFonts w:cs="Arial"/>
        </w:rPr>
        <w:t xml:space="preserve">The Office of Best Practice Regulation (OBPR) administers the Australian Government and </w:t>
      </w:r>
      <w:r w:rsidRPr="00490DCE">
        <w:rPr>
          <w:rFonts w:cs="Arial"/>
        </w:rPr>
        <w:br/>
        <w:t xml:space="preserve">Council of Australian Governments (COAG) best practice regulation requirements. It has a dual </w:t>
      </w:r>
      <w:r w:rsidRPr="00490DCE">
        <w:rPr>
          <w:rFonts w:cs="Arial"/>
        </w:rPr>
        <w:br/>
        <w:t xml:space="preserve">role of assisting departments and agencies to meet the requirements and improving the quality </w:t>
      </w:r>
      <w:r w:rsidRPr="00490DCE">
        <w:rPr>
          <w:rFonts w:cs="Arial"/>
        </w:rPr>
        <w:br/>
        <w:t>of regulatory analysis, and in monitoring and reporting on compliance with the requirements.</w:t>
      </w:r>
    </w:p>
    <w:p w14:paraId="14ADD2D6" w14:textId="77777777" w:rsidR="000A5CFA" w:rsidRPr="00490DCE" w:rsidRDefault="000A5CFA" w:rsidP="00C36262">
      <w:pPr>
        <w:rPr>
          <w:rFonts w:cs="Arial"/>
        </w:rPr>
      </w:pPr>
      <w:r w:rsidRPr="00490DCE">
        <w:rPr>
          <w:rFonts w:cs="Arial"/>
        </w:rPr>
        <w:t xml:space="preserve">In assessing the quality of the regulatory impact analysis, the OBPR does not endorse or support particular regulatory options or outcomes. Rather, its role is to assess whether good regulatory policy development has been followed, in accordance with the processes and requirements outlined in the Australian Government’s </w:t>
      </w:r>
      <w:r w:rsidRPr="009F5D20">
        <w:rPr>
          <w:rStyle w:val="italic"/>
          <w:rFonts w:cs="Arial"/>
          <w:i/>
        </w:rPr>
        <w:t>Best Practice Regulation Handbook</w:t>
      </w:r>
      <w:r w:rsidRPr="00490DCE">
        <w:rPr>
          <w:rFonts w:cs="Arial"/>
        </w:rPr>
        <w:t xml:space="preserve"> (the Handbook) or in the </w:t>
      </w:r>
      <w:r w:rsidRPr="009F5D20">
        <w:rPr>
          <w:rStyle w:val="italic"/>
          <w:rFonts w:cs="Arial"/>
          <w:i/>
        </w:rPr>
        <w:t>COAG Best Practice Regulation: A Guide for Ministerial Councils and National Standard Setting Bodies</w:t>
      </w:r>
      <w:r w:rsidRPr="00490DCE">
        <w:rPr>
          <w:rFonts w:cs="Arial"/>
        </w:rPr>
        <w:t xml:space="preserve"> (COAG Guide).</w:t>
      </w:r>
    </w:p>
    <w:p w14:paraId="6B7E1F66" w14:textId="77777777" w:rsidR="000A5CFA" w:rsidRPr="00490DCE" w:rsidRDefault="000A5CFA" w:rsidP="00C36262">
      <w:pPr>
        <w:rPr>
          <w:rFonts w:cs="Arial"/>
        </w:rPr>
      </w:pPr>
      <w:r w:rsidRPr="00490DCE">
        <w:rPr>
          <w:rFonts w:cs="Arial"/>
        </w:rPr>
        <w:t>In monitoring government decision-making processes, the OBPR seeks to ensure that all regulatory decisions are supported by an appropriate level of impact analysis. Compliance with individual proposals is reported on the OBPR website (www.ris.dpmc.gov.au) as soon as practicable after decisions are announced. Year-to-date and financial year summaries of compliance are also published online.</w:t>
      </w:r>
    </w:p>
    <w:p w14:paraId="60878D14" w14:textId="77777777" w:rsidR="000A5CFA" w:rsidRPr="00490DCE" w:rsidRDefault="000A5CFA" w:rsidP="00C36262">
      <w:pPr>
        <w:rPr>
          <w:rFonts w:cs="Arial"/>
        </w:rPr>
      </w:pPr>
      <w:r w:rsidRPr="00490DCE">
        <w:rPr>
          <w:rFonts w:cs="Arial"/>
        </w:rPr>
        <w:t xml:space="preserve">Regulatory activity triggering the regulation impact statement (RIS) requirements was lower in 2012–13, compared to 2011–12, for both the Australian Government and COAG Councils and national standard–setting bodies. However, overall compliance with Australian Government and COAG RIS requirements increased in 2012–13. There were two instances of non-compliance with the Australian Government RIS requirements in 2012–13, a significant decrease on the previous year, while for the COAG best practice regulation </w:t>
      </w:r>
      <w:proofErr w:type="gramStart"/>
      <w:r w:rsidRPr="00490DCE">
        <w:rPr>
          <w:rFonts w:cs="Arial"/>
        </w:rPr>
        <w:t>requirements,</w:t>
      </w:r>
      <w:proofErr w:type="gramEnd"/>
      <w:r w:rsidRPr="00490DCE">
        <w:rPr>
          <w:rFonts w:cs="Arial"/>
        </w:rPr>
        <w:t xml:space="preserve"> non-compliance has also decreased over the same period.</w:t>
      </w:r>
    </w:p>
    <w:p w14:paraId="4B3C3060" w14:textId="77777777" w:rsidR="000A5CFA" w:rsidRPr="00490DCE" w:rsidRDefault="000A5CFA" w:rsidP="00E804F7">
      <w:pPr>
        <w:pStyle w:val="Heading3"/>
        <w:rPr>
          <w:rFonts w:cs="Arial"/>
        </w:rPr>
      </w:pPr>
      <w:r w:rsidRPr="00490DCE">
        <w:rPr>
          <w:rFonts w:cs="Arial"/>
        </w:rPr>
        <w:t>1.1 Collaboration</w:t>
      </w:r>
    </w:p>
    <w:p w14:paraId="5F18B33B" w14:textId="77777777" w:rsidR="000A5CFA" w:rsidRPr="00490DCE" w:rsidRDefault="000A5CFA" w:rsidP="00C36262">
      <w:pPr>
        <w:rPr>
          <w:rFonts w:cs="Arial"/>
        </w:rPr>
      </w:pPr>
      <w:r w:rsidRPr="00490DCE">
        <w:rPr>
          <w:rFonts w:cs="Arial"/>
        </w:rPr>
        <w:t xml:space="preserve">The Australian Government’s regulatory impact analysis (RIA) framework aims to achieve efficient and effective Australian Government regulation through proportionate analysis and consultation. The proactive approach that the OBPR has taken to assist agencies to comply with the best practice regulation requirements and build capability with those agencies is an integral part of the RIA process. The most influential assistance provided by the OBPR has been the </w:t>
      </w:r>
      <w:proofErr w:type="spellStart"/>
      <w:r w:rsidRPr="00490DCE">
        <w:rPr>
          <w:rFonts w:cs="Arial"/>
        </w:rPr>
        <w:t>outposting</w:t>
      </w:r>
      <w:proofErr w:type="spellEnd"/>
      <w:r w:rsidRPr="00490DCE">
        <w:rPr>
          <w:rFonts w:cs="Arial"/>
        </w:rPr>
        <w:t xml:space="preserve"> of OBPR officers to assist agencies in the preparation of RISs, the introduction of initial advice letters to agencies on the application of best practice requirements to specific regulatory proposals and formal training on the best practice regulation requirements.</w:t>
      </w:r>
    </w:p>
    <w:p w14:paraId="51A0CEE6" w14:textId="77777777" w:rsidR="000A5CFA" w:rsidRPr="00490DCE" w:rsidRDefault="000A5CFA" w:rsidP="00E804F7">
      <w:pPr>
        <w:pStyle w:val="Heading4"/>
        <w:rPr>
          <w:rFonts w:cs="Arial"/>
        </w:rPr>
      </w:pPr>
      <w:proofErr w:type="spellStart"/>
      <w:r w:rsidRPr="00490DCE">
        <w:rPr>
          <w:rFonts w:cs="Arial"/>
        </w:rPr>
        <w:t>Outpostings</w:t>
      </w:r>
      <w:proofErr w:type="spellEnd"/>
    </w:p>
    <w:p w14:paraId="212E400C" w14:textId="75D731C7" w:rsidR="000A5CFA" w:rsidRPr="00490DCE" w:rsidRDefault="000A5CFA" w:rsidP="00C36262">
      <w:pPr>
        <w:rPr>
          <w:rFonts w:cs="Arial"/>
        </w:rPr>
      </w:pPr>
      <w:r w:rsidRPr="00490DCE">
        <w:rPr>
          <w:rFonts w:cs="Arial"/>
        </w:rPr>
        <w:t xml:space="preserve">At the request of departments and agencies, the OBPR provides </w:t>
      </w:r>
      <w:proofErr w:type="spellStart"/>
      <w:r w:rsidRPr="00490DCE">
        <w:rPr>
          <w:rFonts w:cs="Arial"/>
        </w:rPr>
        <w:t>outposted</w:t>
      </w:r>
      <w:proofErr w:type="spellEnd"/>
      <w:r w:rsidRPr="00490DCE">
        <w:rPr>
          <w:rFonts w:cs="Arial"/>
        </w:rPr>
        <w:t xml:space="preserve"> officers (on a cost offsetting basis) to assist agencies in the preparation of RISs and post</w:t>
      </w:r>
      <w:r w:rsidR="00F43F6A">
        <w:rPr>
          <w:rFonts w:ascii="American Typewriter Light" w:hAnsi="American Typewriter Light" w:cs="American Typewriter Light"/>
        </w:rPr>
        <w:t>-</w:t>
      </w:r>
      <w:r w:rsidRPr="00490DCE">
        <w:rPr>
          <w:rFonts w:cs="Arial"/>
        </w:rPr>
        <w:t xml:space="preserve">implementation reviews (PIRs). The initiative covers Australian Government and COAG best practice regulation requirements. Agencies utilise a variety of approaches when engaging an OBPR </w:t>
      </w:r>
      <w:proofErr w:type="spellStart"/>
      <w:r w:rsidRPr="00490DCE">
        <w:rPr>
          <w:rFonts w:cs="Arial"/>
        </w:rPr>
        <w:t>outposted</w:t>
      </w:r>
      <w:proofErr w:type="spellEnd"/>
      <w:r w:rsidRPr="00490DCE">
        <w:rPr>
          <w:rFonts w:cs="Arial"/>
        </w:rPr>
        <w:t xml:space="preserve"> officer. These range from assistance in providing overarching guidance about the RIS requirements to more technical support, including on cost-benefit analysis. The RIS or PIR remains the responsibility of the agency under the </w:t>
      </w:r>
      <w:proofErr w:type="spellStart"/>
      <w:r w:rsidRPr="00490DCE">
        <w:rPr>
          <w:rFonts w:cs="Arial"/>
        </w:rPr>
        <w:t>outposting</w:t>
      </w:r>
      <w:proofErr w:type="spellEnd"/>
      <w:r w:rsidRPr="00490DCE">
        <w:rPr>
          <w:rFonts w:cs="Arial"/>
        </w:rPr>
        <w:t xml:space="preserve"> initiative. To avoid any conflict of interest, </w:t>
      </w:r>
      <w:proofErr w:type="spellStart"/>
      <w:r w:rsidRPr="00490DCE">
        <w:rPr>
          <w:rFonts w:cs="Arial"/>
        </w:rPr>
        <w:t>outposted</w:t>
      </w:r>
      <w:proofErr w:type="spellEnd"/>
      <w:r w:rsidRPr="00490DCE">
        <w:rPr>
          <w:rFonts w:cs="Arial"/>
        </w:rPr>
        <w:t xml:space="preserve"> officers are not involved in the assessment of compliance of the RIS/PIR that they have been involved with.</w:t>
      </w:r>
    </w:p>
    <w:p w14:paraId="065BD4D2" w14:textId="77777777" w:rsidR="000A5CFA" w:rsidRPr="00490DCE" w:rsidRDefault="000A5CFA" w:rsidP="00C36262">
      <w:pPr>
        <w:rPr>
          <w:rFonts w:cs="Arial"/>
        </w:rPr>
      </w:pPr>
      <w:r w:rsidRPr="00490DCE">
        <w:rPr>
          <w:rFonts w:cs="Arial"/>
        </w:rPr>
        <w:t>In 2012–13, OBPR staff were seconded to the Departments of Families, Housing, Community Services and Indigenous Affairs; Industry, Innovation, Climate Change, Science, Research and Tertiary Education; Resources, Energy and Tourism; and Education, Employment and Workplace Relations. These secondments assisted in the development of Australian Government and COAG RISs on a range of policies including the national disability insurance scheme (NDIS), national occupational licensing reforms, minimum energy performance standards for electrical equipment and vocational and educational training (VET) reforms.</w:t>
      </w:r>
    </w:p>
    <w:p w14:paraId="0C002235" w14:textId="77777777" w:rsidR="000A5CFA" w:rsidRPr="00490DCE" w:rsidRDefault="000A5CFA" w:rsidP="00C36262">
      <w:pPr>
        <w:rPr>
          <w:rFonts w:cs="Arial"/>
        </w:rPr>
      </w:pPr>
      <w:r w:rsidRPr="00490DCE">
        <w:rPr>
          <w:rFonts w:cs="Arial"/>
        </w:rPr>
        <w:lastRenderedPageBreak/>
        <w:t xml:space="preserve">The NDIS is a national insurance scheme which envisages that all Australians with a significant and ongoing disability would have access to long-term care and support. The NDIS is designed to help improve disability services and provide greater choice and control for people with disabilities, for example by allowing choice of providers and the ability for individuals to directly purchase services detailed in their support package that best meet their preferences. An OBPR officer was </w:t>
      </w:r>
      <w:proofErr w:type="spellStart"/>
      <w:r w:rsidRPr="00490DCE">
        <w:rPr>
          <w:rFonts w:cs="Arial"/>
        </w:rPr>
        <w:t>outposted</w:t>
      </w:r>
      <w:proofErr w:type="spellEnd"/>
      <w:r w:rsidRPr="00490DCE">
        <w:rPr>
          <w:rFonts w:cs="Arial"/>
        </w:rPr>
        <w:t xml:space="preserve"> to the NDIS Taskforce to develop a Consultation RIS.</w:t>
      </w:r>
    </w:p>
    <w:p w14:paraId="7C2CFB48" w14:textId="77777777" w:rsidR="000A5CFA" w:rsidRPr="00490DCE" w:rsidRDefault="000A5CFA" w:rsidP="00C36262">
      <w:pPr>
        <w:rPr>
          <w:rFonts w:cs="Arial"/>
        </w:rPr>
      </w:pPr>
      <w:r w:rsidRPr="00490DCE">
        <w:rPr>
          <w:rFonts w:cs="Arial"/>
        </w:rPr>
        <w:t xml:space="preserve">The national occupational licensing reforms, if implemented, have the potential to remove unnecessary regulatory burden on businesses and licensees, increase labour mobility and improve the efficiency of regulation. Two OBPR officers </w:t>
      </w:r>
      <w:proofErr w:type="spellStart"/>
      <w:r w:rsidRPr="00490DCE">
        <w:rPr>
          <w:rFonts w:cs="Arial"/>
        </w:rPr>
        <w:t>outposted</w:t>
      </w:r>
      <w:proofErr w:type="spellEnd"/>
      <w:r w:rsidRPr="00490DCE">
        <w:rPr>
          <w:rFonts w:cs="Arial"/>
        </w:rPr>
        <w:t xml:space="preserve"> to the COAG National Licensing Taskforce worked with members of the Taskforce in finalising the Decision RISs for the national regulation of the electrical, refrigeration and air conditioning, plumbing and </w:t>
      </w:r>
      <w:proofErr w:type="spellStart"/>
      <w:r w:rsidRPr="00490DCE">
        <w:rPr>
          <w:rFonts w:cs="Arial"/>
        </w:rPr>
        <w:t>gasfitting</w:t>
      </w:r>
      <w:proofErr w:type="spellEnd"/>
      <w:r w:rsidRPr="00490DCE">
        <w:rPr>
          <w:rFonts w:cs="Arial"/>
        </w:rPr>
        <w:t xml:space="preserve"> trades, and occupations in the property sector.</w:t>
      </w:r>
    </w:p>
    <w:p w14:paraId="64B0E38D" w14:textId="77777777" w:rsidR="000A5CFA" w:rsidRPr="00490DCE" w:rsidRDefault="000A5CFA" w:rsidP="00C36262">
      <w:pPr>
        <w:rPr>
          <w:rFonts w:cs="Arial"/>
        </w:rPr>
      </w:pPr>
      <w:r w:rsidRPr="00490DCE">
        <w:rPr>
          <w:rFonts w:cs="Arial"/>
        </w:rPr>
        <w:t xml:space="preserve">The OBPR </w:t>
      </w:r>
      <w:proofErr w:type="spellStart"/>
      <w:r w:rsidRPr="00490DCE">
        <w:rPr>
          <w:rFonts w:cs="Arial"/>
        </w:rPr>
        <w:t>outposted</w:t>
      </w:r>
      <w:proofErr w:type="spellEnd"/>
      <w:r w:rsidRPr="00490DCE">
        <w:rPr>
          <w:rFonts w:cs="Arial"/>
        </w:rPr>
        <w:t xml:space="preserve"> an officer to the Department of Resources, Energy and Tourism to work in the Department’s Energy Efficiency Division – the Division was transferred from the Department of Climate Change and Energy Efficiency on 26 March 2013 when that Department was abolished. The aim of the </w:t>
      </w:r>
      <w:proofErr w:type="spellStart"/>
      <w:r w:rsidRPr="00490DCE">
        <w:rPr>
          <w:rFonts w:cs="Arial"/>
        </w:rPr>
        <w:t>outposting</w:t>
      </w:r>
      <w:proofErr w:type="spellEnd"/>
      <w:r w:rsidRPr="00490DCE">
        <w:rPr>
          <w:rFonts w:cs="Arial"/>
        </w:rPr>
        <w:t xml:space="preserve"> was to improve the Division’s capacity to develop RISs as well as provide assistance on RISs in development. The RISs which the </w:t>
      </w:r>
      <w:proofErr w:type="spellStart"/>
      <w:r w:rsidRPr="00490DCE">
        <w:rPr>
          <w:rFonts w:cs="Arial"/>
        </w:rPr>
        <w:t>outposted</w:t>
      </w:r>
      <w:proofErr w:type="spellEnd"/>
      <w:r w:rsidRPr="00490DCE">
        <w:rPr>
          <w:rFonts w:cs="Arial"/>
        </w:rPr>
        <w:t xml:space="preserve"> officer provided assistance on included a RIS on minimum energy performance standards and energy labelling for computers and a RIS on minimum energy performance standards for appliances in standby mode. Other RISs where the </w:t>
      </w:r>
      <w:proofErr w:type="spellStart"/>
      <w:r w:rsidRPr="00490DCE">
        <w:rPr>
          <w:rFonts w:cs="Arial"/>
        </w:rPr>
        <w:t>outposted</w:t>
      </w:r>
      <w:proofErr w:type="spellEnd"/>
      <w:r w:rsidRPr="00490DCE">
        <w:rPr>
          <w:rFonts w:cs="Arial"/>
        </w:rPr>
        <w:t xml:space="preserve"> officer provided detailed advice included those in regard to: heat pump water heaters; and ‘smart appliance’ interfaces for air conditioners and other appliances. To improve the capacity of the Division, the </w:t>
      </w:r>
      <w:proofErr w:type="spellStart"/>
      <w:r w:rsidRPr="00490DCE">
        <w:rPr>
          <w:rFonts w:cs="Arial"/>
        </w:rPr>
        <w:t>outposted</w:t>
      </w:r>
      <w:proofErr w:type="spellEnd"/>
      <w:r w:rsidRPr="00490DCE">
        <w:rPr>
          <w:rFonts w:cs="Arial"/>
        </w:rPr>
        <w:t xml:space="preserve"> officer was working with teams and the executive to develop new processes and guidance material on the development of RISs.</w:t>
      </w:r>
    </w:p>
    <w:p w14:paraId="711695BA" w14:textId="77777777" w:rsidR="000A5CFA" w:rsidRPr="00490DCE" w:rsidRDefault="000A5CFA" w:rsidP="00C36262">
      <w:pPr>
        <w:rPr>
          <w:rFonts w:cs="Arial"/>
        </w:rPr>
      </w:pPr>
      <w:r w:rsidRPr="00490DCE">
        <w:rPr>
          <w:rFonts w:cs="Arial"/>
        </w:rPr>
        <w:t xml:space="preserve">Two significant reforms to VET providers were progressed by governments in 2012–13. The first concerned the introduction of new mandatory data collection and reporting requirements. The proposed reforms aim to improve the comprehensiveness and quality of data available about nationally recognised training in Australia. The new data will be used for a variety of purposes including: for the My Skills website; helping governments to develop more targeted policies and better direct funding to training priorities; helping state and territory governments to administer their entitlement schemes; and assist with the creation of training transcripts for students. The reforms will impact a number of providers who will either need to submit data for the first time or may need to increase their reporting. An OBPR officer was </w:t>
      </w:r>
      <w:proofErr w:type="spellStart"/>
      <w:r w:rsidRPr="00490DCE">
        <w:rPr>
          <w:rFonts w:cs="Arial"/>
        </w:rPr>
        <w:t>outposted</w:t>
      </w:r>
      <w:proofErr w:type="spellEnd"/>
      <w:r w:rsidRPr="00490DCE">
        <w:rPr>
          <w:rFonts w:cs="Arial"/>
        </w:rPr>
        <w:t xml:space="preserve"> to the Department of Industry, Innovation, Climate Change, Science, Research and Tertiary Education to assist in the development of the Decision RIS.</w:t>
      </w:r>
    </w:p>
    <w:p w14:paraId="0A7AE3EE" w14:textId="77777777" w:rsidR="000A5CFA" w:rsidRPr="00490DCE" w:rsidRDefault="000A5CFA" w:rsidP="00C36262">
      <w:pPr>
        <w:rPr>
          <w:rFonts w:cs="Arial"/>
        </w:rPr>
      </w:pPr>
      <w:r w:rsidRPr="00490DCE">
        <w:rPr>
          <w:rFonts w:cs="Arial"/>
        </w:rPr>
        <w:t xml:space="preserve">The other VET reform proposed a single national set of standards for providers to address problems in the sector that include inconsistent quality, lack of transparency and the need for greater flexibility. An OBPR officer was </w:t>
      </w:r>
      <w:proofErr w:type="spellStart"/>
      <w:r w:rsidRPr="00490DCE">
        <w:rPr>
          <w:rFonts w:cs="Arial"/>
        </w:rPr>
        <w:t>outposted</w:t>
      </w:r>
      <w:proofErr w:type="spellEnd"/>
      <w:r w:rsidRPr="00490DCE">
        <w:rPr>
          <w:rFonts w:cs="Arial"/>
        </w:rPr>
        <w:t xml:space="preserve"> to the Office of the National Skills Standards Council to assist in the development of the Consultation RIS.</w:t>
      </w:r>
    </w:p>
    <w:p w14:paraId="2786CF8B" w14:textId="77777777" w:rsidR="000A5CFA" w:rsidRPr="00490DCE" w:rsidRDefault="000A5CFA" w:rsidP="00C36262">
      <w:pPr>
        <w:rPr>
          <w:rFonts w:cs="Arial"/>
        </w:rPr>
      </w:pPr>
      <w:r w:rsidRPr="00490DCE">
        <w:rPr>
          <w:rFonts w:cs="Arial"/>
        </w:rPr>
        <w:t xml:space="preserve">Feedback on the </w:t>
      </w:r>
      <w:proofErr w:type="spellStart"/>
      <w:r w:rsidRPr="00490DCE">
        <w:rPr>
          <w:rFonts w:cs="Arial"/>
        </w:rPr>
        <w:t>outposting</w:t>
      </w:r>
      <w:proofErr w:type="spellEnd"/>
      <w:r w:rsidRPr="00490DCE">
        <w:rPr>
          <w:rFonts w:cs="Arial"/>
        </w:rPr>
        <w:t xml:space="preserve"> initiative has been positive, with agencies valuing the contribution of experienced OBPR officers in helping to achieve adequate levels of analysis in RISs. From the OBPR perspective, the initiative has achieved a number of positive outcomes. Firstly, the input from an </w:t>
      </w:r>
      <w:proofErr w:type="spellStart"/>
      <w:r w:rsidRPr="00490DCE">
        <w:rPr>
          <w:rFonts w:cs="Arial"/>
        </w:rPr>
        <w:t>outposted</w:t>
      </w:r>
      <w:proofErr w:type="spellEnd"/>
      <w:r w:rsidRPr="00490DCE">
        <w:rPr>
          <w:rFonts w:cs="Arial"/>
        </w:rPr>
        <w:t xml:space="preserve"> officer has streamlined the development and clearance process for RISs from a hosting department. The transfer of knowledge on the RIS process between an </w:t>
      </w:r>
      <w:proofErr w:type="spellStart"/>
      <w:r w:rsidRPr="00490DCE">
        <w:rPr>
          <w:rFonts w:cs="Arial"/>
        </w:rPr>
        <w:t>outposted</w:t>
      </w:r>
      <w:proofErr w:type="spellEnd"/>
      <w:r w:rsidRPr="00490DCE">
        <w:rPr>
          <w:rFonts w:cs="Arial"/>
        </w:rPr>
        <w:t xml:space="preserve"> officer and a department has contributed to this streamlined process, and provides a skill base for future RIS activity by a department. The presence of an </w:t>
      </w:r>
      <w:proofErr w:type="spellStart"/>
      <w:r w:rsidRPr="00490DCE">
        <w:rPr>
          <w:rFonts w:cs="Arial"/>
        </w:rPr>
        <w:t>outposted</w:t>
      </w:r>
      <w:proofErr w:type="spellEnd"/>
      <w:r w:rsidRPr="00490DCE">
        <w:rPr>
          <w:rFonts w:cs="Arial"/>
        </w:rPr>
        <w:t xml:space="preserve"> officer in a department has also contributed to a more active role in the RIS process by executives of the hosting department. The OBPR has observed that senior executive buy-in early in the development of a RIS leads to a more efficient RIS process. Finally, the </w:t>
      </w:r>
      <w:proofErr w:type="spellStart"/>
      <w:r w:rsidRPr="00490DCE">
        <w:rPr>
          <w:rFonts w:cs="Arial"/>
        </w:rPr>
        <w:t>outposted</w:t>
      </w:r>
      <w:proofErr w:type="spellEnd"/>
      <w:r w:rsidRPr="00490DCE">
        <w:rPr>
          <w:rFonts w:cs="Arial"/>
        </w:rPr>
        <w:t xml:space="preserve"> officer has been able to bring back to the OBPR the context in which an agency is preparing a RIS allowing the OBPR to improve the quality of our ongoing communication with the agency.</w:t>
      </w:r>
    </w:p>
    <w:p w14:paraId="79D4D62B" w14:textId="77777777" w:rsidR="000A5CFA" w:rsidRPr="00490DCE" w:rsidRDefault="00C36262" w:rsidP="00E804F7">
      <w:pPr>
        <w:pStyle w:val="Heading4"/>
        <w:rPr>
          <w:rFonts w:cs="Arial"/>
        </w:rPr>
      </w:pPr>
      <w:r w:rsidRPr="00490DCE">
        <w:rPr>
          <w:rFonts w:cs="Arial"/>
        </w:rPr>
        <w:br w:type="page"/>
      </w:r>
      <w:r w:rsidR="000A5CFA" w:rsidRPr="00490DCE">
        <w:rPr>
          <w:rFonts w:cs="Arial"/>
        </w:rPr>
        <w:lastRenderedPageBreak/>
        <w:t>Initial advice letters</w:t>
      </w:r>
    </w:p>
    <w:p w14:paraId="7529252E" w14:textId="77777777" w:rsidR="000A5CFA" w:rsidRPr="00490DCE" w:rsidRDefault="000A5CFA" w:rsidP="00C36262">
      <w:pPr>
        <w:rPr>
          <w:rFonts w:cs="Arial"/>
        </w:rPr>
      </w:pPr>
      <w:r w:rsidRPr="00490DCE">
        <w:rPr>
          <w:rFonts w:cs="Arial"/>
        </w:rPr>
        <w:t xml:space="preserve">A successful initiative in 2012–13 was the introduction of initial advice letters to agencies to guide them in addressing the best practice regulation requirements. Initial advice letters identify the level of significance the OBPR attaches to each new regulatory proposal, and guide the agency in understanding the level of analysis that will be required for a particular RIS. </w:t>
      </w:r>
    </w:p>
    <w:p w14:paraId="468455C3" w14:textId="77777777" w:rsidR="000A5CFA" w:rsidRPr="00490DCE" w:rsidRDefault="000A5CFA" w:rsidP="00C36262">
      <w:pPr>
        <w:rPr>
          <w:rFonts w:cs="Arial"/>
        </w:rPr>
      </w:pPr>
      <w:r w:rsidRPr="00490DCE">
        <w:rPr>
          <w:rFonts w:cs="Arial"/>
        </w:rPr>
        <w:t xml:space="preserve">Based on initial discussions with the agency, the initial advice letters are tailored to a specific regulatory proposal and provide detailed guidance relating to relevant aspects of a RIS (for example, giving agencies guidance on how to frame the problem section, and the nature and </w:t>
      </w:r>
      <w:r w:rsidRPr="00490DCE">
        <w:rPr>
          <w:rFonts w:cs="Arial"/>
        </w:rPr>
        <w:br/>
        <w:t xml:space="preserve">level of impact analysis, including quantification). </w:t>
      </w:r>
    </w:p>
    <w:p w14:paraId="5DDB0403" w14:textId="77777777" w:rsidR="000A5CFA" w:rsidRPr="00490DCE" w:rsidRDefault="000A5CFA" w:rsidP="00C36262">
      <w:pPr>
        <w:rPr>
          <w:rFonts w:cs="Arial"/>
        </w:rPr>
      </w:pPr>
      <w:r w:rsidRPr="00490DCE">
        <w:rPr>
          <w:rFonts w:cs="Arial"/>
        </w:rPr>
        <w:t xml:space="preserve">The provision of initial advice letters has improved the quality of first draft RISs and the consistency of subsequent advice to agencies. Some agencies have noted that the provision of initial advice letters has streamlined the best practice regulation process and reduced the average number of iterations of a RIS passing between the agency and the OBPR. The letters have also brought forward any concerns or misunderstandings over the Government’s RIS requirements to the beginning rather than the end of the decision-making process. </w:t>
      </w:r>
    </w:p>
    <w:p w14:paraId="3635CFB1" w14:textId="77777777" w:rsidR="000A5CFA" w:rsidRPr="00490DCE" w:rsidRDefault="000A5CFA" w:rsidP="00E804F7">
      <w:pPr>
        <w:pStyle w:val="Heading4"/>
        <w:rPr>
          <w:rFonts w:cs="Arial"/>
        </w:rPr>
      </w:pPr>
      <w:r w:rsidRPr="00490DCE">
        <w:rPr>
          <w:rFonts w:cs="Arial"/>
        </w:rPr>
        <w:t>Training</w:t>
      </w:r>
    </w:p>
    <w:p w14:paraId="496D82A8" w14:textId="77777777" w:rsidR="000A5CFA" w:rsidRPr="00490DCE" w:rsidRDefault="000A5CFA" w:rsidP="00C36262">
      <w:pPr>
        <w:rPr>
          <w:rFonts w:cs="Arial"/>
        </w:rPr>
      </w:pPr>
      <w:r w:rsidRPr="00490DCE">
        <w:rPr>
          <w:rFonts w:cs="Arial"/>
        </w:rPr>
        <w:t xml:space="preserve">One of the core functions of the OBPR is to provide training to policy officers on the RIA framework. The OBPR’s face-to-face training takes several forms: general and more comprehensive seminars for officers in agencies; group training focused on specific agencies; and one-on-one advice during the development of regulatory proposals such as the preparation of a RIS. In addition, the OBPR has a number of web-based training packages. </w:t>
      </w:r>
    </w:p>
    <w:p w14:paraId="093A3A35" w14:textId="77777777" w:rsidR="000A5CFA" w:rsidRPr="00490DCE" w:rsidRDefault="000A5CFA" w:rsidP="00C36262">
      <w:pPr>
        <w:rPr>
          <w:rFonts w:cs="Arial"/>
        </w:rPr>
      </w:pPr>
      <w:r w:rsidRPr="00490DCE">
        <w:rPr>
          <w:rFonts w:cs="Arial"/>
        </w:rPr>
        <w:t xml:space="preserve">The comprehensive seminars, which are held quarterly, cover all aspects of RIA, including training on preparing a RIS, undertaking cost-benefit analysis, and using the Business Cost Calculator. </w:t>
      </w:r>
    </w:p>
    <w:p w14:paraId="19D7A832" w14:textId="77777777" w:rsidR="000A5CFA" w:rsidRPr="00490DCE" w:rsidRDefault="000A5CFA" w:rsidP="00C36262">
      <w:pPr>
        <w:rPr>
          <w:rFonts w:cs="Arial"/>
        </w:rPr>
      </w:pPr>
      <w:r w:rsidRPr="00490DCE">
        <w:rPr>
          <w:rFonts w:cs="Arial"/>
        </w:rPr>
        <w:t xml:space="preserve">In 2012–13, training in RIA was provided to 199 Commonwealth, State and Territory officers in 19 departments and agencies (up from 154 officers in 2011–12). Of these, 57 officers also received training in cost-benefit analysis and use of the Business Cost Calculator. </w:t>
      </w:r>
    </w:p>
    <w:p w14:paraId="015C4EB3" w14:textId="77777777" w:rsidR="000A5CFA" w:rsidRPr="00490DCE" w:rsidRDefault="000A5CFA" w:rsidP="00E804F7">
      <w:pPr>
        <w:pStyle w:val="Heading3"/>
        <w:rPr>
          <w:rFonts w:cs="Arial"/>
        </w:rPr>
      </w:pPr>
      <w:r w:rsidRPr="00490DCE">
        <w:rPr>
          <w:rFonts w:cs="Arial"/>
        </w:rPr>
        <w:t>1.2 The new RIS process</w:t>
      </w:r>
    </w:p>
    <w:p w14:paraId="4D43D5E9" w14:textId="77777777" w:rsidR="000A5CFA" w:rsidRPr="00490DCE" w:rsidRDefault="000A5CFA" w:rsidP="00C36262">
      <w:pPr>
        <w:rPr>
          <w:rStyle w:val="Hyperlink1"/>
          <w:rFonts w:cs="Arial"/>
          <w:color w:val="auto"/>
        </w:rPr>
      </w:pPr>
      <w:r w:rsidRPr="00490DCE">
        <w:rPr>
          <w:rFonts w:cs="Arial"/>
        </w:rPr>
        <w:t xml:space="preserve">During 2012–13, the Government announced a redesign of the Australian Government’s RIA process to incorporate a two-stage RIS process comprising an options-stage and a details-stage RIS. This reflected a key recommendation of the </w:t>
      </w:r>
      <w:r w:rsidRPr="00795394">
        <w:rPr>
          <w:rStyle w:val="italic"/>
          <w:rFonts w:cs="Arial"/>
          <w:i/>
        </w:rPr>
        <w:t>Independent Review of the Australian Government’s Regulatory Impact Analysis Process</w:t>
      </w:r>
      <w:r w:rsidRPr="00490DCE">
        <w:rPr>
          <w:rStyle w:val="super"/>
          <w:rFonts w:cs="Arial"/>
          <w:vertAlign w:val="superscript"/>
        </w:rPr>
        <w:footnoteReference w:id="1"/>
      </w:r>
      <w:r w:rsidRPr="00490DCE">
        <w:rPr>
          <w:rFonts w:cs="Arial"/>
        </w:rPr>
        <w:t xml:space="preserve"> conducted by David </w:t>
      </w:r>
      <w:proofErr w:type="spellStart"/>
      <w:r w:rsidRPr="00490DCE">
        <w:rPr>
          <w:rFonts w:cs="Arial"/>
        </w:rPr>
        <w:t>Borthwick</w:t>
      </w:r>
      <w:proofErr w:type="spellEnd"/>
      <w:r w:rsidRPr="00490DCE">
        <w:rPr>
          <w:rFonts w:cs="Arial"/>
        </w:rPr>
        <w:t xml:space="preserve"> AO PSM and Robert Milliner. The Handbook describing the new RIS process can be found at </w:t>
      </w:r>
      <w:hyperlink r:id="rId12" w:history="1">
        <w:r w:rsidRPr="00490DCE">
          <w:rPr>
            <w:rStyle w:val="Hyperlink1"/>
            <w:rFonts w:cs="Arial"/>
            <w:color w:val="auto"/>
          </w:rPr>
          <w:t>http://www.dpmc.gov.au/deregulation/obpr/handbook/index.html</w:t>
        </w:r>
      </w:hyperlink>
      <w:r w:rsidRPr="00490DCE">
        <w:rPr>
          <w:rStyle w:val="Hyperlink1"/>
          <w:rFonts w:cs="Arial"/>
          <w:color w:val="auto"/>
        </w:rPr>
        <w:t>.</w:t>
      </w:r>
    </w:p>
    <w:p w14:paraId="3E721DEB" w14:textId="77777777" w:rsidR="000A5CFA" w:rsidRPr="00490DCE" w:rsidRDefault="000A5CFA" w:rsidP="00E804F7">
      <w:pPr>
        <w:pStyle w:val="Heading4"/>
        <w:rPr>
          <w:rFonts w:cs="Arial"/>
        </w:rPr>
      </w:pPr>
      <w:r w:rsidRPr="00490DCE">
        <w:rPr>
          <w:rFonts w:cs="Arial"/>
        </w:rPr>
        <w:t>Guidance information</w:t>
      </w:r>
    </w:p>
    <w:p w14:paraId="3AF2903F" w14:textId="77777777" w:rsidR="000A5CFA" w:rsidRPr="00490DCE" w:rsidRDefault="000A5CFA" w:rsidP="00C36262">
      <w:pPr>
        <w:rPr>
          <w:rFonts w:cs="Arial"/>
        </w:rPr>
      </w:pPr>
      <w:r w:rsidRPr="00490DCE">
        <w:rPr>
          <w:rFonts w:cs="Arial"/>
        </w:rPr>
        <w:t>The OBPR recognises that collaboration with agencies is essential for the maintenance of efficient and effective policy development. The OBPR has undertaken a range of initiatives aimed at improving policy development through collaboration.</w:t>
      </w:r>
    </w:p>
    <w:p w14:paraId="06948C7E" w14:textId="77777777" w:rsidR="000A5CFA" w:rsidRPr="00490DCE" w:rsidRDefault="000A5CFA" w:rsidP="00C36262">
      <w:pPr>
        <w:rPr>
          <w:rFonts w:cs="Arial"/>
        </w:rPr>
      </w:pPr>
      <w:r w:rsidRPr="00490DCE">
        <w:rPr>
          <w:rFonts w:cs="Arial"/>
        </w:rPr>
        <w:t xml:space="preserve">The OBPR has embarked on a redevelopment of its website which is aimed at improving the accessibility of information on the new RIS process. The website has been supplemented with new and updated guidance notes, covering a range of topics including independent reviews, </w:t>
      </w:r>
      <w:proofErr w:type="spellStart"/>
      <w:r w:rsidRPr="00490DCE">
        <w:rPr>
          <w:rFonts w:cs="Arial"/>
        </w:rPr>
        <w:t>sunsetting</w:t>
      </w:r>
      <w:proofErr w:type="spellEnd"/>
      <w:r w:rsidRPr="00490DCE">
        <w:rPr>
          <w:rFonts w:cs="Arial"/>
        </w:rPr>
        <w:t xml:space="preserve"> instruments, and best practice consultation. The guidance notes are designed to assist agencies in complying with the RIS requirements and allow better decisions to be made. </w:t>
      </w:r>
    </w:p>
    <w:p w14:paraId="0BDE7BD1" w14:textId="77777777" w:rsidR="000A5CFA" w:rsidRPr="00490DCE" w:rsidRDefault="000A5CFA" w:rsidP="00C36262">
      <w:pPr>
        <w:rPr>
          <w:rFonts w:cs="Arial"/>
        </w:rPr>
      </w:pPr>
      <w:r w:rsidRPr="00490DCE">
        <w:rPr>
          <w:rFonts w:cs="Arial"/>
        </w:rPr>
        <w:t xml:space="preserve">The </w:t>
      </w:r>
      <w:r w:rsidRPr="008F50D3">
        <w:rPr>
          <w:rStyle w:val="italic"/>
          <w:rFonts w:cs="Arial"/>
          <w:i/>
        </w:rPr>
        <w:t>Independent Reviews guidance note</w:t>
      </w:r>
      <w:r w:rsidRPr="00490DCE">
        <w:rPr>
          <w:rFonts w:cs="Arial"/>
        </w:rPr>
        <w:t xml:space="preserve"> provides information on how agencies can satisfy themselves that they would be compliant with the RIS process. Under the new RIS process </w:t>
      </w:r>
      <w:r w:rsidRPr="00490DCE">
        <w:rPr>
          <w:rFonts w:cs="Arial"/>
        </w:rPr>
        <w:lastRenderedPageBreak/>
        <w:t xml:space="preserve">agencies will be responsible, rather than the OBPR, for assessing whether a proposed independent review meets the RIS requirements. </w:t>
      </w:r>
    </w:p>
    <w:p w14:paraId="7140C3AF" w14:textId="6C22B880" w:rsidR="000A5CFA" w:rsidRPr="00490DCE" w:rsidRDefault="000A5CFA" w:rsidP="00C36262">
      <w:pPr>
        <w:rPr>
          <w:rFonts w:cs="Arial"/>
        </w:rPr>
      </w:pPr>
      <w:r w:rsidRPr="00490DCE">
        <w:rPr>
          <w:rFonts w:cs="Arial"/>
        </w:rPr>
        <w:t xml:space="preserve">Under the </w:t>
      </w:r>
      <w:r w:rsidRPr="008F50D3">
        <w:rPr>
          <w:rStyle w:val="italic"/>
          <w:rFonts w:cs="Arial"/>
          <w:i/>
        </w:rPr>
        <w:t>Legislative Instruments Act 2003</w:t>
      </w:r>
      <w:r w:rsidRPr="00490DCE">
        <w:rPr>
          <w:rFonts w:cs="Arial"/>
        </w:rPr>
        <w:t xml:space="preserve"> (LIA), all legislative instruments ‘sunset’, or cease automatically, after 10 years, unless action is taken to remake them or they are otherwise exempt. Some of these instruments may have impacts on business and the not-for-profit sector, and therefore changes to the future operation of these instruments would fall within the scope of the best practice regulation requirements. The </w:t>
      </w:r>
      <w:proofErr w:type="spellStart"/>
      <w:r w:rsidRPr="008F50D3">
        <w:rPr>
          <w:rStyle w:val="italic"/>
          <w:rFonts w:cs="Arial"/>
          <w:i/>
        </w:rPr>
        <w:t>Sunsetting</w:t>
      </w:r>
      <w:proofErr w:type="spellEnd"/>
      <w:r w:rsidRPr="008F50D3">
        <w:rPr>
          <w:rStyle w:val="italic"/>
          <w:rFonts w:cs="Arial"/>
          <w:i/>
        </w:rPr>
        <w:t xml:space="preserve"> Instruments guidance note</w:t>
      </w:r>
      <w:r w:rsidRPr="00490DCE">
        <w:rPr>
          <w:rFonts w:cs="Arial"/>
        </w:rPr>
        <w:t xml:space="preserve"> clarifies the requirements of the Government’s best practice regulation framework as it applies to instruments due to sunset under the LIA where those instruments have a more-than-minor impact on business or the not</w:t>
      </w:r>
      <w:r w:rsidR="00F43F6A">
        <w:rPr>
          <w:rFonts w:ascii="American Typewriter Light" w:hAnsi="American Typewriter Light" w:cs="American Typewriter Light"/>
        </w:rPr>
        <w:t>-</w:t>
      </w:r>
      <w:r w:rsidRPr="00490DCE">
        <w:rPr>
          <w:rFonts w:cs="Arial"/>
        </w:rPr>
        <w:t>for</w:t>
      </w:r>
      <w:r w:rsidR="00F43F6A">
        <w:rPr>
          <w:rFonts w:ascii="American Typewriter Light" w:hAnsi="American Typewriter Light" w:cs="American Typewriter Light"/>
        </w:rPr>
        <w:t>-</w:t>
      </w:r>
      <w:r w:rsidRPr="00490DCE">
        <w:rPr>
          <w:rFonts w:cs="Arial"/>
        </w:rPr>
        <w:t xml:space="preserve">profit sector. </w:t>
      </w:r>
    </w:p>
    <w:p w14:paraId="5CA00AB5" w14:textId="77777777" w:rsidR="000A5CFA" w:rsidRPr="00490DCE" w:rsidRDefault="000A5CFA" w:rsidP="00C36262">
      <w:pPr>
        <w:rPr>
          <w:rFonts w:cs="Arial"/>
        </w:rPr>
      </w:pPr>
      <w:r w:rsidRPr="00490DCE">
        <w:rPr>
          <w:rFonts w:cs="Arial"/>
        </w:rPr>
        <w:t xml:space="preserve">The </w:t>
      </w:r>
      <w:r w:rsidRPr="008F50D3">
        <w:rPr>
          <w:rStyle w:val="italic"/>
          <w:rFonts w:cs="Arial"/>
          <w:i/>
          <w:spacing w:val="-2"/>
        </w:rPr>
        <w:t>Best Practice Consultation</w:t>
      </w:r>
      <w:r w:rsidRPr="00490DCE">
        <w:rPr>
          <w:rStyle w:val="italic"/>
          <w:rFonts w:cs="Arial"/>
          <w:spacing w:val="-2"/>
        </w:rPr>
        <w:t xml:space="preserve"> guidance note</w:t>
      </w:r>
      <w:r w:rsidRPr="00490DCE">
        <w:rPr>
          <w:rFonts w:cs="Arial"/>
        </w:rPr>
        <w:t xml:space="preserve"> outlines the government’s best practice consultation principles, which should be considered by agencies when developing regulation, and provides guidance on incorporating these principles into the consultation process. The guidance note has been updated to provide more information on developing a strategy utilising online consultation methods.</w:t>
      </w:r>
    </w:p>
    <w:p w14:paraId="02C79E98" w14:textId="77777777" w:rsidR="000A5CFA" w:rsidRPr="00490DCE" w:rsidRDefault="000A5CFA" w:rsidP="00E804F7">
      <w:pPr>
        <w:pStyle w:val="Heading4"/>
        <w:rPr>
          <w:rFonts w:cs="Arial"/>
        </w:rPr>
      </w:pPr>
      <w:r w:rsidRPr="00490DCE">
        <w:rPr>
          <w:rFonts w:cs="Arial"/>
        </w:rPr>
        <w:t>Transparency</w:t>
      </w:r>
    </w:p>
    <w:p w14:paraId="3F1BE2B8" w14:textId="77777777" w:rsidR="000A5CFA" w:rsidRPr="00490DCE" w:rsidRDefault="000A5CFA" w:rsidP="00C36262">
      <w:pPr>
        <w:rPr>
          <w:rFonts w:cs="Arial"/>
        </w:rPr>
      </w:pPr>
      <w:r w:rsidRPr="00490DCE">
        <w:rPr>
          <w:rFonts w:cs="Arial"/>
        </w:rPr>
        <w:t>Transparency plays a pivotal role in the new RIS process for those agencies contemplating regulation. The most significant instances when transparency occurs are following an announcement of an initial decision to regulate (options-stage RIS or independent review), or the final decision to regulate (details-stage RIS or independent review). Prior to each of these stages the agency will be required to certify that the RIS requirements have been met. These certification letters are then published on the OBPR website along with the associated RIS/independent review that was considered by the decision-maker.</w:t>
      </w:r>
    </w:p>
    <w:p w14:paraId="2BD57AD9" w14:textId="77777777" w:rsidR="000A5CFA" w:rsidRPr="00490DCE" w:rsidRDefault="000A5CFA" w:rsidP="00C36262">
      <w:pPr>
        <w:rPr>
          <w:rFonts w:cs="Arial"/>
        </w:rPr>
      </w:pPr>
      <w:r w:rsidRPr="00490DCE">
        <w:rPr>
          <w:rFonts w:cs="Arial"/>
        </w:rPr>
        <w:t>To assist agencies in meeting the transparency requirements, the OBPR has published a number of templates on its website which agencies can use during the RIS certification process.</w:t>
      </w:r>
    </w:p>
    <w:p w14:paraId="37D6A4AF" w14:textId="77777777" w:rsidR="000A5CFA" w:rsidRPr="00490DCE" w:rsidRDefault="000A5CFA" w:rsidP="00E804F7">
      <w:pPr>
        <w:pStyle w:val="Heading4"/>
        <w:rPr>
          <w:rFonts w:cs="Arial"/>
        </w:rPr>
      </w:pPr>
      <w:r w:rsidRPr="00490DCE">
        <w:rPr>
          <w:rFonts w:cs="Arial"/>
        </w:rPr>
        <w:t>Consultation and dissemination</w:t>
      </w:r>
    </w:p>
    <w:p w14:paraId="40789CD9" w14:textId="77777777" w:rsidR="000A5CFA" w:rsidRPr="00490DCE" w:rsidRDefault="000A5CFA" w:rsidP="00C36262">
      <w:pPr>
        <w:rPr>
          <w:rFonts w:cs="Arial"/>
        </w:rPr>
      </w:pPr>
      <w:r w:rsidRPr="00490DCE">
        <w:rPr>
          <w:rFonts w:cs="Arial"/>
        </w:rPr>
        <w:t xml:space="preserve">Recognising the significance of the change in accountability, the OBPR consulted extensively on the revised </w:t>
      </w:r>
      <w:r w:rsidRPr="008F50D3">
        <w:rPr>
          <w:rStyle w:val="italic"/>
          <w:rFonts w:cs="Arial"/>
          <w:i/>
          <w:spacing w:val="-2"/>
        </w:rPr>
        <w:t>Best Practice Regulation Handbook</w:t>
      </w:r>
      <w:r w:rsidRPr="00490DCE">
        <w:rPr>
          <w:rFonts w:cs="Arial"/>
        </w:rPr>
        <w:t xml:space="preserve">, which reflected the new RIS process. This included consultation with government departments and agencies, as well as with peak industry and not-for-profit groups. </w:t>
      </w:r>
    </w:p>
    <w:p w14:paraId="6E261169" w14:textId="17CF32D6" w:rsidR="000A5CFA" w:rsidRPr="00490DCE" w:rsidRDefault="000A5CFA" w:rsidP="00C36262">
      <w:pPr>
        <w:rPr>
          <w:rFonts w:cs="Arial"/>
        </w:rPr>
      </w:pPr>
      <w:r w:rsidRPr="00490DCE">
        <w:rPr>
          <w:rFonts w:cs="Arial"/>
        </w:rPr>
        <w:t xml:space="preserve">The new RIS process reinforces the requirement to quantify the expected impacts of options identified in a RIS. To assist agencies to comply with this requirement when estimating environmental impacts, the OBPR is developing a guidance note on environment valuation. The guidance note, which is designed to be used in conjunction with the OBPR’s </w:t>
      </w:r>
      <w:r w:rsidRPr="004041E6">
        <w:rPr>
          <w:rStyle w:val="italic"/>
          <w:rFonts w:cs="Arial"/>
          <w:i/>
          <w:spacing w:val="-2"/>
        </w:rPr>
        <w:t>Cost-benefit analysis guidance note</w:t>
      </w:r>
      <w:r w:rsidRPr="00490DCE">
        <w:rPr>
          <w:rFonts w:cs="Arial"/>
        </w:rPr>
        <w:t>, is being developed in consultation with a range of Australian Government Departments, as well as a range of state and territory government agencies, academics and business and not</w:t>
      </w:r>
      <w:r w:rsidR="00F43F6A">
        <w:rPr>
          <w:rFonts w:ascii="American Typewriter Light" w:hAnsi="American Typewriter Light" w:cs="American Typewriter Light"/>
        </w:rPr>
        <w:t>-</w:t>
      </w:r>
      <w:r w:rsidRPr="00490DCE">
        <w:rPr>
          <w:rFonts w:cs="Arial"/>
        </w:rPr>
        <w:t>for</w:t>
      </w:r>
      <w:r w:rsidR="00F43F6A">
        <w:rPr>
          <w:rFonts w:ascii="American Typewriter Light" w:hAnsi="American Typewriter Light" w:cs="American Typewriter Light"/>
        </w:rPr>
        <w:t>-</w:t>
      </w:r>
      <w:r w:rsidRPr="00490DCE">
        <w:rPr>
          <w:rFonts w:cs="Arial"/>
        </w:rPr>
        <w:t>profit groups.</w:t>
      </w:r>
    </w:p>
    <w:p w14:paraId="4576EE84" w14:textId="77777777" w:rsidR="000A5CFA" w:rsidRPr="00490DCE" w:rsidRDefault="000A5CFA" w:rsidP="00C36262">
      <w:pPr>
        <w:rPr>
          <w:rFonts w:cs="Arial"/>
        </w:rPr>
      </w:pPr>
      <w:r w:rsidRPr="00490DCE">
        <w:rPr>
          <w:rFonts w:cs="Arial"/>
        </w:rPr>
        <w:t xml:space="preserve">In preparation for the changes to the Government’s RIA requirements, the OBPR provided training on the new RIS process to 249 Australian Government officers – of </w:t>
      </w:r>
      <w:proofErr w:type="gramStart"/>
      <w:r w:rsidRPr="00490DCE">
        <w:rPr>
          <w:rFonts w:cs="Arial"/>
        </w:rPr>
        <w:t>whom</w:t>
      </w:r>
      <w:proofErr w:type="gramEnd"/>
      <w:r w:rsidRPr="00490DCE">
        <w:rPr>
          <w:rFonts w:cs="Arial"/>
        </w:rPr>
        <w:t xml:space="preserve"> 36 attended a specific best practice regulation co-ordinators training session – as well as to other senior officials in 2012–13. This training was in addition to the general RIS training provided during the year.</w:t>
      </w:r>
    </w:p>
    <w:p w14:paraId="7EA92414" w14:textId="08A9CE18" w:rsidR="000A5CFA" w:rsidRPr="00490DCE" w:rsidRDefault="000A5CFA" w:rsidP="00C36262">
      <w:pPr>
        <w:rPr>
          <w:rFonts w:cs="Arial"/>
        </w:rPr>
      </w:pPr>
      <w:r w:rsidRPr="00490DCE">
        <w:rPr>
          <w:rFonts w:cs="Arial"/>
        </w:rPr>
        <w:t>The OBPR also has strategies to engage with the business and not</w:t>
      </w:r>
      <w:r w:rsidR="00F43F6A">
        <w:rPr>
          <w:rFonts w:ascii="American Typewriter Light" w:hAnsi="American Typewriter Light" w:cs="American Typewriter Light"/>
        </w:rPr>
        <w:t>-</w:t>
      </w:r>
      <w:r w:rsidRPr="00490DCE">
        <w:rPr>
          <w:rFonts w:cs="Arial"/>
        </w:rPr>
        <w:t>for</w:t>
      </w:r>
      <w:r w:rsidR="00F43F6A">
        <w:rPr>
          <w:rFonts w:ascii="American Typewriter Light" w:hAnsi="American Typewriter Light" w:cs="American Typewriter Light"/>
        </w:rPr>
        <w:t>-</w:t>
      </w:r>
      <w:r w:rsidRPr="00490DCE">
        <w:rPr>
          <w:rFonts w:cs="Arial"/>
        </w:rPr>
        <w:t>profit sectors, including a monthly e-newsletter which is distributed to around 25 peak bodies, representing various business and not-for-profit groups. The e-newsletter, which was created at the request of some peak bodies wanting to keep abreast of RIA developments, focuses on recent RIS issues and provides updates on OBPR activities.</w:t>
      </w:r>
    </w:p>
    <w:p w14:paraId="39DA0336" w14:textId="77777777" w:rsidR="000A5CFA" w:rsidRPr="00490DCE" w:rsidRDefault="000A5CFA" w:rsidP="00C36262">
      <w:pPr>
        <w:rPr>
          <w:rFonts w:cs="Arial"/>
        </w:rPr>
      </w:pPr>
      <w:r w:rsidRPr="00490DCE">
        <w:rPr>
          <w:rFonts w:cs="Arial"/>
        </w:rPr>
        <w:t>The e-newsletter is in addition to existing OBPR outreach activities, particularly the RIS website (and its comment facility) and the OBPR Twitter account, which commenced in July 2012.</w:t>
      </w:r>
    </w:p>
    <w:p w14:paraId="7BB9F07A" w14:textId="77777777" w:rsidR="000A5CFA" w:rsidRPr="00490DCE" w:rsidRDefault="000A5CFA" w:rsidP="00C36262">
      <w:pPr>
        <w:rPr>
          <w:rFonts w:cs="Arial"/>
        </w:rPr>
      </w:pPr>
      <w:r w:rsidRPr="00490DCE">
        <w:rPr>
          <w:rFonts w:cs="Arial"/>
        </w:rPr>
        <w:t xml:space="preserve">The use of Twitter as an additional communication tool has aided the OBPR in performing its role of promoting effective and efficient regulation by the Australian Government and the Council of </w:t>
      </w:r>
      <w:r w:rsidRPr="00490DCE">
        <w:rPr>
          <w:rFonts w:cs="Arial"/>
        </w:rPr>
        <w:lastRenderedPageBreak/>
        <w:t xml:space="preserve">Australian Governments. The OBPR Twitter account successfully fulfilled this objective during the first year of its operation and will continue to be used as an official communication medium. </w:t>
      </w:r>
    </w:p>
    <w:p w14:paraId="274B6B90" w14:textId="77777777" w:rsidR="000A5CFA" w:rsidRPr="00490DCE" w:rsidRDefault="000A5CFA" w:rsidP="00C36262">
      <w:pPr>
        <w:rPr>
          <w:rFonts w:cs="Arial"/>
        </w:rPr>
      </w:pPr>
      <w:r w:rsidRPr="00490DCE">
        <w:rPr>
          <w:rFonts w:cs="Arial"/>
        </w:rPr>
        <w:t>The type of information that the OBPR tweets largely falls into one of the following categories:</w:t>
      </w:r>
    </w:p>
    <w:p w14:paraId="136A34E1" w14:textId="77777777" w:rsidR="000A5CFA" w:rsidRPr="00490DCE" w:rsidRDefault="000A5CFA" w:rsidP="000A5CFA">
      <w:pPr>
        <w:pStyle w:val="ListParagraph"/>
        <w:rPr>
          <w:rFonts w:cs="Arial"/>
        </w:rPr>
      </w:pPr>
      <w:r w:rsidRPr="00490DCE">
        <w:rPr>
          <w:rFonts w:cs="Arial"/>
        </w:rPr>
        <w:t xml:space="preserve">RIA process related announcements, including publishing of approved RISs, PIRs, and </w:t>
      </w:r>
      <w:r w:rsidRPr="00490DCE">
        <w:rPr>
          <w:rFonts w:cs="Arial"/>
        </w:rPr>
        <w:br/>
        <w:t xml:space="preserve">non-compliance; </w:t>
      </w:r>
    </w:p>
    <w:p w14:paraId="6C7B4CBD" w14:textId="77777777" w:rsidR="000A5CFA" w:rsidRPr="00490DCE" w:rsidRDefault="000A5CFA" w:rsidP="000A5CFA">
      <w:pPr>
        <w:pStyle w:val="ListParagraph"/>
        <w:rPr>
          <w:rFonts w:cs="Arial"/>
        </w:rPr>
      </w:pPr>
      <w:r w:rsidRPr="00490DCE">
        <w:rPr>
          <w:rFonts w:cs="Arial"/>
        </w:rPr>
        <w:t>General information associated with ‘live’ RIS processes – public information regarding consultation, discussion, guidance notes and training; and</w:t>
      </w:r>
    </w:p>
    <w:p w14:paraId="513BE6EB" w14:textId="77777777" w:rsidR="000A5CFA" w:rsidRPr="00490DCE" w:rsidRDefault="000A5CFA" w:rsidP="000A5CFA">
      <w:pPr>
        <w:pStyle w:val="ListParagraph"/>
        <w:rPr>
          <w:rFonts w:cs="Arial"/>
        </w:rPr>
      </w:pPr>
      <w:r w:rsidRPr="00490DCE">
        <w:rPr>
          <w:rFonts w:cs="Arial"/>
        </w:rPr>
        <w:t>Points of interest – commenting on, or re-tweeting of, relevant academic work or articles, or regulatory policy developments in other countries.</w:t>
      </w:r>
    </w:p>
    <w:p w14:paraId="0216B3BF" w14:textId="77777777" w:rsidR="000A5CFA" w:rsidRPr="00490DCE" w:rsidRDefault="000A5CFA" w:rsidP="00C36262">
      <w:pPr>
        <w:rPr>
          <w:rFonts w:cs="Arial"/>
        </w:rPr>
      </w:pPr>
      <w:r w:rsidRPr="00490DCE">
        <w:rPr>
          <w:rFonts w:cs="Arial"/>
        </w:rPr>
        <w:t xml:space="preserve">The OBPR (@OBPRGov) can be followed on Twitter at: </w:t>
      </w:r>
      <w:hyperlink r:id="rId13" w:history="1">
        <w:r w:rsidRPr="00490DCE">
          <w:rPr>
            <w:rStyle w:val="Hyperlink1"/>
            <w:rFonts w:cs="Arial"/>
            <w:color w:val="auto"/>
          </w:rPr>
          <w:t>https://www.twitter.com/OBPRGov</w:t>
        </w:r>
      </w:hyperlink>
      <w:r w:rsidRPr="00490DCE">
        <w:rPr>
          <w:rStyle w:val="Hyperlink1"/>
          <w:rFonts w:cs="Arial"/>
          <w:color w:val="auto"/>
        </w:rPr>
        <w:t>.</w:t>
      </w:r>
    </w:p>
    <w:p w14:paraId="3BFA48DB" w14:textId="77777777" w:rsidR="000A5CFA" w:rsidRPr="00490DCE" w:rsidRDefault="000A5CFA" w:rsidP="00E804F7">
      <w:pPr>
        <w:pStyle w:val="Heading3"/>
        <w:rPr>
          <w:rFonts w:cs="Arial"/>
        </w:rPr>
      </w:pPr>
      <w:r w:rsidRPr="00490DCE">
        <w:rPr>
          <w:rFonts w:cs="Arial"/>
        </w:rPr>
        <w:t xml:space="preserve">1.3 International Engagement </w:t>
      </w:r>
    </w:p>
    <w:p w14:paraId="0BC9C252" w14:textId="77777777" w:rsidR="000A5CFA" w:rsidRPr="00490DCE" w:rsidRDefault="000A5CFA" w:rsidP="000A5CFA">
      <w:pPr>
        <w:rPr>
          <w:rFonts w:cs="Arial"/>
        </w:rPr>
      </w:pPr>
      <w:r w:rsidRPr="00490DCE">
        <w:rPr>
          <w:rFonts w:cs="Arial"/>
        </w:rPr>
        <w:t xml:space="preserve">In October 2012, the Australian Government released the </w:t>
      </w:r>
      <w:r w:rsidRPr="00905D46">
        <w:rPr>
          <w:rStyle w:val="italic"/>
          <w:rFonts w:cs="Arial"/>
          <w:i/>
        </w:rPr>
        <w:t>Australia in the Asian Century</w:t>
      </w:r>
      <w:r w:rsidRPr="00490DCE">
        <w:rPr>
          <w:rFonts w:cs="Arial"/>
        </w:rPr>
        <w:t xml:space="preserve"> White Paper which sets out a high level strategy for Australia to maximise the benefits of Asia’s growing economic and strategic influence to 2025. The White Paper sets out five key areas requiring action:</w:t>
      </w:r>
    </w:p>
    <w:p w14:paraId="56307637" w14:textId="77777777" w:rsidR="000A5CFA" w:rsidRPr="00490DCE" w:rsidRDefault="000A5CFA" w:rsidP="000A5CFA">
      <w:pPr>
        <w:pStyle w:val="ListParagraph"/>
        <w:rPr>
          <w:rFonts w:cs="Arial"/>
        </w:rPr>
      </w:pPr>
      <w:r w:rsidRPr="00490DCE">
        <w:rPr>
          <w:rFonts w:cs="Arial"/>
        </w:rPr>
        <w:t>A productive and resilient Australian economy;</w:t>
      </w:r>
    </w:p>
    <w:p w14:paraId="1C33FF30" w14:textId="77777777" w:rsidR="000A5CFA" w:rsidRPr="00490DCE" w:rsidRDefault="000A5CFA" w:rsidP="000A5CFA">
      <w:pPr>
        <w:pStyle w:val="ListParagraph"/>
        <w:rPr>
          <w:rFonts w:cs="Arial"/>
        </w:rPr>
      </w:pPr>
      <w:r w:rsidRPr="00490DCE">
        <w:rPr>
          <w:rFonts w:cs="Arial"/>
        </w:rPr>
        <w:t>Building capabilities;</w:t>
      </w:r>
    </w:p>
    <w:p w14:paraId="11D19ACC" w14:textId="77777777" w:rsidR="000A5CFA" w:rsidRPr="00490DCE" w:rsidRDefault="000A5CFA" w:rsidP="000A5CFA">
      <w:pPr>
        <w:pStyle w:val="ListParagraph"/>
        <w:rPr>
          <w:rFonts w:cs="Arial"/>
        </w:rPr>
      </w:pPr>
      <w:r w:rsidRPr="00490DCE">
        <w:rPr>
          <w:rFonts w:cs="Arial"/>
        </w:rPr>
        <w:t>Operating in and connecting to growing Asian markets;</w:t>
      </w:r>
    </w:p>
    <w:p w14:paraId="312C4D17" w14:textId="77777777" w:rsidR="000A5CFA" w:rsidRPr="00490DCE" w:rsidRDefault="000A5CFA" w:rsidP="000A5CFA">
      <w:pPr>
        <w:pStyle w:val="ListParagraph"/>
        <w:rPr>
          <w:rFonts w:cs="Arial"/>
        </w:rPr>
      </w:pPr>
      <w:r w:rsidRPr="00490DCE">
        <w:rPr>
          <w:rFonts w:cs="Arial"/>
        </w:rPr>
        <w:t>Building sustainable security in the region; and</w:t>
      </w:r>
    </w:p>
    <w:p w14:paraId="0B96420D" w14:textId="77777777" w:rsidR="000A5CFA" w:rsidRPr="00490DCE" w:rsidRDefault="000A5CFA" w:rsidP="000A5CFA">
      <w:pPr>
        <w:pStyle w:val="ListParagraph"/>
        <w:rPr>
          <w:rFonts w:cs="Arial"/>
        </w:rPr>
      </w:pPr>
      <w:r w:rsidRPr="00490DCE">
        <w:rPr>
          <w:rFonts w:cs="Arial"/>
        </w:rPr>
        <w:t>Establishing deeper and broader relationships.</w:t>
      </w:r>
    </w:p>
    <w:p w14:paraId="1E70A645" w14:textId="77777777" w:rsidR="000A5CFA" w:rsidRPr="00490DCE" w:rsidRDefault="000A5CFA" w:rsidP="000A5CFA">
      <w:pPr>
        <w:rPr>
          <w:rFonts w:cs="Arial"/>
        </w:rPr>
      </w:pPr>
      <w:r w:rsidRPr="00490DCE">
        <w:rPr>
          <w:rFonts w:cs="Arial"/>
        </w:rPr>
        <w:t>According to the Organisation for Economic Co-operation and Development (OECD), Australia has world leading approaches to RIA</w:t>
      </w:r>
      <w:r w:rsidRPr="00490DCE">
        <w:rPr>
          <w:rStyle w:val="super"/>
          <w:rFonts w:cs="Arial"/>
        </w:rPr>
        <w:t xml:space="preserve"> </w:t>
      </w:r>
      <w:r w:rsidRPr="00490DCE">
        <w:rPr>
          <w:rFonts w:cs="Arial"/>
        </w:rPr>
        <w:t>and enjoys a strong international reputation</w:t>
      </w:r>
      <w:r w:rsidRPr="00490DCE">
        <w:rPr>
          <w:rStyle w:val="super"/>
          <w:rFonts w:cs="Arial"/>
          <w:vertAlign w:val="superscript"/>
        </w:rPr>
        <w:footnoteReference w:id="2"/>
      </w:r>
      <w:r w:rsidRPr="00490DCE">
        <w:rPr>
          <w:rFonts w:cs="Arial"/>
        </w:rPr>
        <w:t xml:space="preserve">. It is this reputation that has allowed the OBPR to fulfil some of the key future actions identified in the </w:t>
      </w:r>
      <w:r w:rsidRPr="00905D46">
        <w:rPr>
          <w:rStyle w:val="italic"/>
          <w:rFonts w:cs="Arial"/>
          <w:i/>
        </w:rPr>
        <w:t>Australia in the Asian Century</w:t>
      </w:r>
      <w:r w:rsidRPr="00490DCE">
        <w:rPr>
          <w:rFonts w:cs="Arial"/>
        </w:rPr>
        <w:t xml:space="preserve"> White Paper by collaborating with countries in the Asian region in tailoring their regulatory analysis and frameworks to suit their particular situations.</w:t>
      </w:r>
    </w:p>
    <w:p w14:paraId="62A76BB9" w14:textId="77777777" w:rsidR="000A5CFA" w:rsidRPr="00490DCE" w:rsidRDefault="000A5CFA" w:rsidP="000A5CFA">
      <w:pPr>
        <w:rPr>
          <w:rFonts w:cs="Arial"/>
          <w:spacing w:val="-2"/>
        </w:rPr>
      </w:pPr>
      <w:r w:rsidRPr="00490DCE">
        <w:rPr>
          <w:rFonts w:cs="Arial"/>
          <w:spacing w:val="-2"/>
        </w:rPr>
        <w:t>In 2012, the OBPR delivered an Asia-Pacific Economic Cooperation (APEC) funded series of training courses to interested APEC developing countries. The OBPR developed the capacity-building project to conduct RIA training in support of the initiative from Australia, New Zealand and the United States on Good Regulatory Practices agreed by APEC Leaders in Honolulu in November 2011.</w:t>
      </w:r>
    </w:p>
    <w:p w14:paraId="4BDC7D0F" w14:textId="77777777" w:rsidR="000A5CFA" w:rsidRPr="00490DCE" w:rsidRDefault="000A5CFA" w:rsidP="000A5CFA">
      <w:pPr>
        <w:rPr>
          <w:rFonts w:cs="Arial"/>
        </w:rPr>
      </w:pPr>
      <w:r w:rsidRPr="00490DCE">
        <w:rPr>
          <w:rFonts w:cs="Arial"/>
        </w:rPr>
        <w:t>Australia, Mexico and New Zealand provided the training, and were paired with particular developing economies. OBPR provided training in the Philippines, Hong Kong, China, Taiwan and Vietnam. The training was delivered to senior economic ministry and regulatory officials.</w:t>
      </w:r>
    </w:p>
    <w:p w14:paraId="64B69505" w14:textId="77777777" w:rsidR="000A5CFA" w:rsidRPr="00490DCE" w:rsidRDefault="000A5CFA" w:rsidP="000A5CFA">
      <w:pPr>
        <w:rPr>
          <w:rFonts w:cs="Arial"/>
        </w:rPr>
      </w:pPr>
      <w:r w:rsidRPr="00490DCE">
        <w:rPr>
          <w:rFonts w:cs="Arial"/>
        </w:rPr>
        <w:t xml:space="preserve">Separately, as part of the </w:t>
      </w:r>
      <w:proofErr w:type="spellStart"/>
      <w:r w:rsidRPr="00490DCE">
        <w:rPr>
          <w:rFonts w:cs="Arial"/>
        </w:rPr>
        <w:t>AusAID</w:t>
      </w:r>
      <w:proofErr w:type="spellEnd"/>
      <w:r w:rsidRPr="00490DCE">
        <w:rPr>
          <w:rFonts w:cs="Arial"/>
        </w:rPr>
        <w:t xml:space="preserve"> funded Government Partnership Fund program, the OBPR provided RIA training to the Indonesian Tax Regulation Directorate in December 2012.</w:t>
      </w:r>
    </w:p>
    <w:p w14:paraId="4B7FC239" w14:textId="77777777" w:rsidR="000A5CFA" w:rsidRPr="00490DCE" w:rsidRDefault="000A5CFA" w:rsidP="000A5CFA">
      <w:pPr>
        <w:rPr>
          <w:rFonts w:cs="Arial"/>
        </w:rPr>
      </w:pPr>
      <w:r w:rsidRPr="00490DCE">
        <w:rPr>
          <w:rFonts w:cs="Arial"/>
        </w:rPr>
        <w:t>Additionally, the OBPR provided material on RIA which was presented by Department of Industry, Innovation, Climate Change, Science, Research and Tertiary Education officials at the 7th APEC Good Regulatory Practice Conference in Medan, Indonesia in June 2013.</w:t>
      </w:r>
    </w:p>
    <w:p w14:paraId="7F4AE3A3" w14:textId="77777777" w:rsidR="000A5CFA" w:rsidRPr="00490DCE" w:rsidRDefault="000A5CFA" w:rsidP="000A5CFA">
      <w:pPr>
        <w:rPr>
          <w:rFonts w:cs="Arial"/>
        </w:rPr>
      </w:pPr>
      <w:r w:rsidRPr="00490DCE">
        <w:rPr>
          <w:rFonts w:cs="Arial"/>
        </w:rPr>
        <w:t>In 2012–13, the OBPR provided experts to participate in two training programs in Mexico. In October 2012, two OBPR staff participated in an OECD-hosted training course on RIA for Mexican officials, and in April 2013 an OBPR official participated in an APEC-funded workshop on impact evaluation.</w:t>
      </w:r>
    </w:p>
    <w:p w14:paraId="770BE9BC" w14:textId="77777777" w:rsidR="000A5CFA" w:rsidRPr="00490DCE" w:rsidRDefault="000A5CFA" w:rsidP="000A5CFA">
      <w:pPr>
        <w:rPr>
          <w:rFonts w:cs="Arial"/>
        </w:rPr>
      </w:pPr>
      <w:r w:rsidRPr="00490DCE">
        <w:rPr>
          <w:rFonts w:cs="Arial"/>
        </w:rPr>
        <w:lastRenderedPageBreak/>
        <w:t>The OBPR also receives frequent requests to meet with delegations of officials or representatives from other national governments on RIA. In 2012–13 this included:</w:t>
      </w:r>
    </w:p>
    <w:p w14:paraId="1F12C583" w14:textId="77777777" w:rsidR="000A5CFA" w:rsidRPr="00490DCE" w:rsidRDefault="000A5CFA" w:rsidP="000A5CFA">
      <w:pPr>
        <w:pStyle w:val="ListParagraph"/>
        <w:rPr>
          <w:rFonts w:cs="Arial"/>
        </w:rPr>
      </w:pPr>
      <w:r w:rsidRPr="00490DCE">
        <w:rPr>
          <w:rFonts w:cs="Arial"/>
        </w:rPr>
        <w:t>a study tour from Vietnam of eight officials from the Ministry of Finance who were visiting Australia to learn more about RIA;</w:t>
      </w:r>
    </w:p>
    <w:p w14:paraId="2E3001F1" w14:textId="77777777" w:rsidR="000A5CFA" w:rsidRPr="00490DCE" w:rsidRDefault="000A5CFA" w:rsidP="000A5CFA">
      <w:pPr>
        <w:pStyle w:val="ListParagraph"/>
        <w:rPr>
          <w:rFonts w:cs="Arial"/>
        </w:rPr>
      </w:pPr>
      <w:r w:rsidRPr="00490DCE">
        <w:rPr>
          <w:rFonts w:cs="Arial"/>
        </w:rPr>
        <w:t>a delegation of senior Indonesian officials from the Ministry for Administrative and Bureaucratic Reform and other central government agencies;</w:t>
      </w:r>
    </w:p>
    <w:p w14:paraId="02C73BBE" w14:textId="77777777" w:rsidR="000A5CFA" w:rsidRPr="00490DCE" w:rsidRDefault="000A5CFA" w:rsidP="000A5CFA">
      <w:pPr>
        <w:pStyle w:val="ListParagraph"/>
        <w:rPr>
          <w:rFonts w:cs="Arial"/>
        </w:rPr>
      </w:pPr>
      <w:r w:rsidRPr="00490DCE">
        <w:rPr>
          <w:rFonts w:cs="Arial"/>
        </w:rPr>
        <w:t>a delegation of eight officials from the Swedish Parliamentary Committee of Taxation in September 2012;</w:t>
      </w:r>
    </w:p>
    <w:p w14:paraId="304B9C8D" w14:textId="77777777" w:rsidR="000A5CFA" w:rsidRPr="00490DCE" w:rsidRDefault="000A5CFA" w:rsidP="000A5CFA">
      <w:pPr>
        <w:pStyle w:val="ListParagraph"/>
        <w:rPr>
          <w:rFonts w:cs="Arial"/>
        </w:rPr>
      </w:pPr>
      <w:r w:rsidRPr="00490DCE">
        <w:rPr>
          <w:rFonts w:cs="Arial"/>
        </w:rPr>
        <w:t xml:space="preserve">a delegation of 16 Parliamentarians and officials from Cambodia, which is introducing </w:t>
      </w:r>
      <w:r w:rsidRPr="00490DCE">
        <w:rPr>
          <w:rFonts w:cs="Arial"/>
        </w:rPr>
        <w:br/>
        <w:t>a system of RIA; and</w:t>
      </w:r>
    </w:p>
    <w:p w14:paraId="5FC18D5D" w14:textId="77777777" w:rsidR="000A5CFA" w:rsidRPr="00490DCE" w:rsidRDefault="000A5CFA" w:rsidP="000A5CFA">
      <w:pPr>
        <w:pStyle w:val="ListParagraph"/>
        <w:rPr>
          <w:rFonts w:cs="Arial"/>
        </w:rPr>
      </w:pPr>
      <w:proofErr w:type="gramStart"/>
      <w:r w:rsidRPr="00490DCE">
        <w:rPr>
          <w:rFonts w:cs="Arial"/>
        </w:rPr>
        <w:t>a</w:t>
      </w:r>
      <w:proofErr w:type="gramEnd"/>
      <w:r w:rsidRPr="00490DCE">
        <w:rPr>
          <w:rFonts w:cs="Arial"/>
        </w:rPr>
        <w:t xml:space="preserve"> delegation of 14 officials from the Philippines, which is in the process of developing </w:t>
      </w:r>
      <w:r w:rsidRPr="00490DCE">
        <w:rPr>
          <w:rFonts w:cs="Arial"/>
        </w:rPr>
        <w:br/>
        <w:t>RIA processes.</w:t>
      </w:r>
    </w:p>
    <w:p w14:paraId="1F5905D9" w14:textId="77777777" w:rsidR="000A5CFA" w:rsidRPr="00490DCE" w:rsidRDefault="000A5CFA" w:rsidP="00E804F7">
      <w:pPr>
        <w:pStyle w:val="Heading3"/>
        <w:rPr>
          <w:rFonts w:cs="Arial"/>
        </w:rPr>
      </w:pPr>
      <w:r w:rsidRPr="00490DCE">
        <w:rPr>
          <w:rFonts w:cs="Arial"/>
        </w:rPr>
        <w:t>1.4 Behavioural economics in public policy development</w:t>
      </w:r>
    </w:p>
    <w:p w14:paraId="3542203D" w14:textId="77777777" w:rsidR="000A5CFA" w:rsidRPr="00490DCE" w:rsidRDefault="000A5CFA" w:rsidP="000A5CFA">
      <w:pPr>
        <w:rPr>
          <w:rFonts w:cs="Arial"/>
        </w:rPr>
      </w:pPr>
      <w:r w:rsidRPr="00490DCE">
        <w:rPr>
          <w:rFonts w:cs="Arial"/>
        </w:rPr>
        <w:t>Behavioural economics, which applies psychological insights into human behaviour to explain economic decision-making, can be used to assess how preferences and choices made by consumers and businesses are impacted by cognitive, social and emotional variables.</w:t>
      </w:r>
    </w:p>
    <w:p w14:paraId="44DB85CC" w14:textId="77777777" w:rsidR="000A5CFA" w:rsidRPr="00490DCE" w:rsidRDefault="000A5CFA" w:rsidP="000A5CFA">
      <w:pPr>
        <w:rPr>
          <w:rFonts w:cs="Arial"/>
        </w:rPr>
      </w:pPr>
      <w:r w:rsidRPr="00490DCE">
        <w:rPr>
          <w:rFonts w:cs="Arial"/>
        </w:rPr>
        <w:t xml:space="preserve">Insights from behavioural economics can be applied to public policy and regulatory evaluation and design by influencing consumer and business behaviour. In particular, the design of regulation can be informed by a more nuanced understanding of what motivates behaviour. For example, simply changing the default rule from opt-in to opt-out within a given scheme can induce notable changes in behaviour. </w:t>
      </w:r>
    </w:p>
    <w:p w14:paraId="34A8C172" w14:textId="35CDBF90" w:rsidR="000A5CFA" w:rsidRPr="00490DCE" w:rsidRDefault="000A5CFA" w:rsidP="000A5CFA">
      <w:pPr>
        <w:rPr>
          <w:rFonts w:cs="Arial"/>
        </w:rPr>
      </w:pPr>
      <w:r w:rsidRPr="00490DCE">
        <w:rPr>
          <w:rFonts w:cs="Arial"/>
        </w:rPr>
        <w:t>The OBPR has been involved in raising the profile of behavioural economics and its public policy application in the Australian Public Service. This has been progressed through channels within the regulation impact analysis process; publication of papers; participation in inter</w:t>
      </w:r>
      <w:r w:rsidR="00F43F6A">
        <w:rPr>
          <w:rFonts w:ascii="American Typewriter Light" w:hAnsi="American Typewriter Light" w:cs="American Typewriter Light"/>
        </w:rPr>
        <w:t>-</w:t>
      </w:r>
      <w:r w:rsidRPr="00490DCE">
        <w:rPr>
          <w:rFonts w:cs="Arial"/>
        </w:rPr>
        <w:t>departmental committees; and engagement with international experts. Mainly through collaborating with other agencies and stakeholders, some of the achievements in this area are listed below.</w:t>
      </w:r>
    </w:p>
    <w:p w14:paraId="49120030" w14:textId="77777777" w:rsidR="000A5CFA" w:rsidRPr="00490DCE" w:rsidRDefault="000A5CFA" w:rsidP="000A5CFA">
      <w:pPr>
        <w:pStyle w:val="ListParagraph"/>
        <w:rPr>
          <w:rFonts w:cs="Arial"/>
        </w:rPr>
      </w:pPr>
      <w:r w:rsidRPr="00490DCE">
        <w:rPr>
          <w:rFonts w:cs="Arial"/>
        </w:rPr>
        <w:t xml:space="preserve">The OBPR published a paper in December 2012 on behavioural economics, rational choice theory and regulatory design. </w:t>
      </w:r>
    </w:p>
    <w:p w14:paraId="529E201B" w14:textId="77777777" w:rsidR="000A5CFA" w:rsidRPr="00490DCE" w:rsidRDefault="000A5CFA" w:rsidP="000A5CFA">
      <w:pPr>
        <w:pStyle w:val="ListParagraph"/>
        <w:rPr>
          <w:rFonts w:cs="Arial"/>
        </w:rPr>
      </w:pPr>
      <w:r w:rsidRPr="00490DCE">
        <w:rPr>
          <w:rFonts w:cs="Arial"/>
        </w:rPr>
        <w:t>The OBPR established a series of randomised control trials internal to Department of Finance and Deregulation which commenced in late 2012. These trials use behavioural economics techniques to investigate approaches to improving Departmental officers’ compliance with procurement rules and processes. These trials are ongoing.</w:t>
      </w:r>
    </w:p>
    <w:p w14:paraId="17429084" w14:textId="77777777" w:rsidR="000A5CFA" w:rsidRPr="00490DCE" w:rsidRDefault="000A5CFA" w:rsidP="000A5CFA">
      <w:pPr>
        <w:pStyle w:val="ListParagraph"/>
        <w:rPr>
          <w:rFonts w:cs="Arial"/>
        </w:rPr>
      </w:pPr>
      <w:r w:rsidRPr="00490DCE">
        <w:rPr>
          <w:rFonts w:cs="Arial"/>
        </w:rPr>
        <w:t xml:space="preserve">A presentation on behavioural economics was delivered by the OBPR at the Regulatory Reform Unit Annual General Meeting. </w:t>
      </w:r>
    </w:p>
    <w:p w14:paraId="6FAED039" w14:textId="77777777" w:rsidR="000A5CFA" w:rsidRPr="00490DCE" w:rsidRDefault="000A5CFA" w:rsidP="000A5CFA">
      <w:pPr>
        <w:pStyle w:val="ListParagraph"/>
        <w:rPr>
          <w:rFonts w:cs="Arial"/>
        </w:rPr>
      </w:pPr>
      <w:r w:rsidRPr="00490DCE">
        <w:rPr>
          <w:rFonts w:cs="Arial"/>
        </w:rPr>
        <w:t xml:space="preserve">Participation in an inter-departmental committee comprising representatives from 23 departments and agencies to explore the application of behavioural economics in Commonwealth policy processes/programs. </w:t>
      </w:r>
    </w:p>
    <w:p w14:paraId="2077045C" w14:textId="77777777" w:rsidR="000A5CFA" w:rsidRPr="00490DCE" w:rsidRDefault="000A5CFA" w:rsidP="000A5CFA">
      <w:pPr>
        <w:pStyle w:val="ListParagraph"/>
        <w:rPr>
          <w:rFonts w:cs="Arial"/>
        </w:rPr>
      </w:pPr>
      <w:r w:rsidRPr="00490DCE">
        <w:rPr>
          <w:rFonts w:cs="Arial"/>
        </w:rPr>
        <w:t>Coordination of a meeting between Dr David Halpern and Dr Rory Gallagher from the Behavioural Insights Team, UK Cabinet Office, and senior executives from the Department of Finance and Deregulation and the Treasury as well as a presentation by these experts to the inter-departmental committee.</w:t>
      </w:r>
    </w:p>
    <w:p w14:paraId="10EEF566" w14:textId="77777777" w:rsidR="000A5CFA" w:rsidRPr="00490DCE" w:rsidRDefault="000A5CFA" w:rsidP="000A5CFA">
      <w:pPr>
        <w:pStyle w:val="ListParagraph"/>
        <w:rPr>
          <w:rFonts w:cs="Arial"/>
        </w:rPr>
      </w:pPr>
      <w:r w:rsidRPr="00490DCE">
        <w:rPr>
          <w:rFonts w:cs="Arial"/>
        </w:rPr>
        <w:t xml:space="preserve">In conjunction with other Australian Government departments and agencies, the OBPR developed a list of important issues which could be the subject of randomised control </w:t>
      </w:r>
      <w:r w:rsidRPr="00490DCE">
        <w:rPr>
          <w:rFonts w:cs="Arial"/>
        </w:rPr>
        <w:lastRenderedPageBreak/>
        <w:t>trials by international academics, including Professor John List from the University of Chicago, an expert in the area of behavioural economics and field experiments.</w:t>
      </w:r>
    </w:p>
    <w:p w14:paraId="3A48F178" w14:textId="77777777" w:rsidR="000A5CFA" w:rsidRPr="00490DCE" w:rsidRDefault="000A5CFA" w:rsidP="000A5CFA">
      <w:pPr>
        <w:rPr>
          <w:rFonts w:cs="Arial"/>
        </w:rPr>
      </w:pPr>
      <w:r w:rsidRPr="00490DCE">
        <w:rPr>
          <w:rFonts w:cs="Arial"/>
        </w:rPr>
        <w:t>While raising awareness is important, there is substantial scope for the initiative to be taken further by agencies.</w:t>
      </w:r>
    </w:p>
    <w:p w14:paraId="1B6450E7"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2. Summary of Compliance</w:t>
      </w:r>
    </w:p>
    <w:p w14:paraId="72806C41" w14:textId="77777777" w:rsidR="000A5CFA" w:rsidRPr="00490DCE" w:rsidRDefault="000A5CFA" w:rsidP="000A5CFA">
      <w:pPr>
        <w:rPr>
          <w:rFonts w:cs="Arial"/>
        </w:rPr>
      </w:pPr>
      <w:r w:rsidRPr="00490DCE">
        <w:rPr>
          <w:rFonts w:cs="Arial"/>
        </w:rPr>
        <w:t xml:space="preserve">Both the Australian Government and COAG have best practice regulation requirements in place to ensure that regulation is </w:t>
      </w:r>
      <w:r w:rsidRPr="00AB3AC0">
        <w:rPr>
          <w:rStyle w:val="italic"/>
          <w:rFonts w:cs="Arial"/>
          <w:i/>
        </w:rPr>
        <w:t>effective</w:t>
      </w:r>
      <w:r w:rsidRPr="00490DCE">
        <w:rPr>
          <w:rFonts w:cs="Arial"/>
        </w:rPr>
        <w:t xml:space="preserve"> in addressing an identified problem, and </w:t>
      </w:r>
      <w:r w:rsidRPr="00AB3AC0">
        <w:rPr>
          <w:rStyle w:val="italic"/>
          <w:rFonts w:cs="Arial"/>
          <w:i/>
        </w:rPr>
        <w:t>efficient</w:t>
      </w:r>
      <w:r w:rsidRPr="00490DCE">
        <w:rPr>
          <w:rFonts w:cs="Arial"/>
        </w:rPr>
        <w:t xml:space="preserve"> in terms of maximising the benefits to the community, taking account of the costs.</w:t>
      </w:r>
    </w:p>
    <w:p w14:paraId="43C5FE9C" w14:textId="77777777" w:rsidR="000A5CFA" w:rsidRPr="00490DCE" w:rsidRDefault="000A5CFA" w:rsidP="000A5CFA">
      <w:pPr>
        <w:rPr>
          <w:rFonts w:cs="Arial"/>
        </w:rPr>
      </w:pPr>
      <w:r w:rsidRPr="00490DCE">
        <w:rPr>
          <w:rFonts w:cs="Arial"/>
        </w:rPr>
        <w:t>This chapter reports in aggregate on compliance by agencies and by COAG councils and national standard-setting bodies (NSSBs) with the best practice regulation requirements.</w:t>
      </w:r>
    </w:p>
    <w:p w14:paraId="1DC59066" w14:textId="77777777" w:rsidR="000A5CFA" w:rsidRPr="00490DCE" w:rsidRDefault="000A5CFA" w:rsidP="00E804F7">
      <w:pPr>
        <w:pStyle w:val="Heading3"/>
        <w:rPr>
          <w:rFonts w:cs="Arial"/>
        </w:rPr>
      </w:pPr>
      <w:r w:rsidRPr="00490DCE">
        <w:rPr>
          <w:rFonts w:cs="Arial"/>
        </w:rPr>
        <w:t>2.1 Australian Government’s best practice regulation requirements</w:t>
      </w:r>
    </w:p>
    <w:p w14:paraId="3F4157D8" w14:textId="77777777" w:rsidR="000A5CFA" w:rsidRPr="00490DCE" w:rsidRDefault="000A5CFA" w:rsidP="000A5CFA">
      <w:pPr>
        <w:rPr>
          <w:rFonts w:cs="Arial"/>
        </w:rPr>
      </w:pPr>
      <w:r w:rsidRPr="00490DCE">
        <w:rPr>
          <w:rFonts w:cs="Arial"/>
        </w:rPr>
        <w:t xml:space="preserve">This publication reports on department and agency compliance with the best practice regulation requirements in 2012–13 and therefore refers to the RIS requirements that commenced on 1 July 2010. </w:t>
      </w:r>
    </w:p>
    <w:p w14:paraId="48D3DB8D" w14:textId="77777777" w:rsidR="000A5CFA" w:rsidRPr="00490DCE" w:rsidRDefault="000A5CFA" w:rsidP="000A5CFA">
      <w:pPr>
        <w:rPr>
          <w:rFonts w:cs="Arial"/>
        </w:rPr>
      </w:pPr>
      <w:r w:rsidRPr="00490DCE">
        <w:rPr>
          <w:rFonts w:cs="Arial"/>
        </w:rPr>
        <w:t>The OBPR, in its role of administering the Government’s best practice regulation process and reporting on compliance with the requirements, assesses whether:</w:t>
      </w:r>
    </w:p>
    <w:p w14:paraId="029A8126" w14:textId="77777777" w:rsidR="000A5CFA" w:rsidRPr="00490DCE" w:rsidRDefault="000A5CFA" w:rsidP="000A5CFA">
      <w:pPr>
        <w:pStyle w:val="ListParagraph"/>
        <w:rPr>
          <w:rFonts w:cs="Arial"/>
        </w:rPr>
      </w:pPr>
      <w:r w:rsidRPr="00490DCE">
        <w:rPr>
          <w:rFonts w:cs="Arial"/>
        </w:rPr>
        <w:t>a RIS was prepared to inform the decision-maker at the policy approval stage and whether the analysis contained in the RIS satisfies the Government’s adequacy criteria;</w:t>
      </w:r>
    </w:p>
    <w:p w14:paraId="7C5948DF" w14:textId="77777777" w:rsidR="000A5CFA" w:rsidRPr="00490DCE" w:rsidRDefault="000A5CFA" w:rsidP="000A5CFA">
      <w:pPr>
        <w:pStyle w:val="ListParagraph"/>
        <w:rPr>
          <w:rFonts w:cs="Arial"/>
        </w:rPr>
      </w:pPr>
      <w:r w:rsidRPr="00490DCE">
        <w:rPr>
          <w:rFonts w:cs="Arial"/>
        </w:rPr>
        <w:t>the RIS prepared at the decision-making stage was published on the OBPR’s website, tabled in Parliament or otherwise made public (transparency stage);</w:t>
      </w:r>
    </w:p>
    <w:p w14:paraId="084D8A74" w14:textId="77777777" w:rsidR="000A5CFA" w:rsidRPr="00490DCE" w:rsidRDefault="000A5CFA" w:rsidP="000A5CFA">
      <w:pPr>
        <w:pStyle w:val="ListParagraph"/>
        <w:rPr>
          <w:rFonts w:cs="Arial"/>
        </w:rPr>
      </w:pPr>
      <w:r w:rsidRPr="00490DCE">
        <w:rPr>
          <w:rFonts w:cs="Arial"/>
        </w:rPr>
        <w:t>‘exceptional circumstances’ were granted by the Prime Minister at the decision-making stage, or if an adequate RIS was not prepared, a post-implementation review (PIR) is required to commence within one to two years of the implementation date; and</w:t>
      </w:r>
    </w:p>
    <w:p w14:paraId="21C53CDD" w14:textId="77777777" w:rsidR="000A5CFA" w:rsidRPr="00490DCE" w:rsidRDefault="000A5CFA" w:rsidP="000A5CFA">
      <w:pPr>
        <w:pStyle w:val="ListParagraph"/>
        <w:rPr>
          <w:rFonts w:cs="Arial"/>
        </w:rPr>
      </w:pPr>
      <w:proofErr w:type="gramStart"/>
      <w:r w:rsidRPr="00490DCE">
        <w:rPr>
          <w:rFonts w:cs="Arial"/>
        </w:rPr>
        <w:t>an</w:t>
      </w:r>
      <w:proofErr w:type="gramEnd"/>
      <w:r w:rsidRPr="00490DCE">
        <w:rPr>
          <w:rFonts w:cs="Arial"/>
        </w:rPr>
        <w:t xml:space="preserve"> Annual Regulatory Plan was published.</w:t>
      </w:r>
    </w:p>
    <w:p w14:paraId="26BCB105" w14:textId="77777777" w:rsidR="000A5CFA" w:rsidRPr="00490DCE" w:rsidRDefault="000A5CFA" w:rsidP="000A5CFA">
      <w:pPr>
        <w:rPr>
          <w:rFonts w:cs="Arial"/>
        </w:rPr>
      </w:pPr>
      <w:r w:rsidRPr="00490DCE">
        <w:rPr>
          <w:rFonts w:cs="Arial"/>
        </w:rPr>
        <w:t>To be assessed as adequate, a RIS must contain a degree of detail and depth of analysis that is commensurate with the size of the potential impacts of the proposal. Subject to this overriding principle, the OBPR applies the criteria from the Handbook to assess whether each element of a RIS is adequate (the Handbook can be viewed on the OBPR website).</w:t>
      </w:r>
    </w:p>
    <w:p w14:paraId="2FDFD247" w14:textId="77777777" w:rsidR="000A5CFA" w:rsidRPr="00490DCE" w:rsidRDefault="000A5CFA" w:rsidP="00E804F7">
      <w:pPr>
        <w:pStyle w:val="Heading3"/>
        <w:rPr>
          <w:rFonts w:cs="Arial"/>
        </w:rPr>
      </w:pPr>
      <w:r w:rsidRPr="00490DCE">
        <w:rPr>
          <w:rFonts w:cs="Arial"/>
        </w:rPr>
        <w:t>2.2 Australian Government compliance</w:t>
      </w:r>
    </w:p>
    <w:p w14:paraId="3892AFE1" w14:textId="77777777" w:rsidR="000A5CFA" w:rsidRPr="00490DCE" w:rsidRDefault="000A5CFA" w:rsidP="000A5CFA">
      <w:pPr>
        <w:rPr>
          <w:rFonts w:cs="Arial"/>
        </w:rPr>
      </w:pPr>
      <w:r w:rsidRPr="00490DCE">
        <w:rPr>
          <w:rFonts w:cs="Arial"/>
        </w:rPr>
        <w:t xml:space="preserve">Compliance with the Australian Government best practice regulation requirements is measured </w:t>
      </w:r>
      <w:r w:rsidRPr="00490DCE">
        <w:rPr>
          <w:rFonts w:cs="Arial"/>
        </w:rPr>
        <w:br/>
        <w:t xml:space="preserve">by compliance with the requirement to prepare and publish an adequate RIS, where the </w:t>
      </w:r>
      <w:r w:rsidRPr="00490DCE">
        <w:rPr>
          <w:rFonts w:cs="Arial"/>
        </w:rPr>
        <w:br/>
        <w:t xml:space="preserve">Prime Minister granted an exemption, where an adequate PIR was prepared (if required) and </w:t>
      </w:r>
      <w:r w:rsidRPr="00490DCE">
        <w:rPr>
          <w:rFonts w:cs="Arial"/>
        </w:rPr>
        <w:br/>
        <w:t>by publication of Annual Regulatory Plans.</w:t>
      </w:r>
    </w:p>
    <w:p w14:paraId="6E722C84" w14:textId="77777777" w:rsidR="000A5CFA" w:rsidRPr="00490DCE" w:rsidRDefault="000A5CFA" w:rsidP="00E804F7">
      <w:pPr>
        <w:pStyle w:val="Heading4"/>
        <w:rPr>
          <w:rFonts w:cs="Arial"/>
        </w:rPr>
      </w:pPr>
      <w:r w:rsidRPr="00490DCE">
        <w:rPr>
          <w:rFonts w:cs="Arial"/>
        </w:rPr>
        <w:t>Aggregate compliance</w:t>
      </w:r>
    </w:p>
    <w:p w14:paraId="2D22C5BB" w14:textId="77777777" w:rsidR="000A5CFA" w:rsidRPr="00490DCE" w:rsidRDefault="000A5CFA" w:rsidP="000A5CFA">
      <w:pPr>
        <w:rPr>
          <w:rFonts w:cs="Arial"/>
        </w:rPr>
      </w:pPr>
      <w:r w:rsidRPr="00490DCE">
        <w:rPr>
          <w:rFonts w:cs="Arial"/>
        </w:rPr>
        <w:t xml:space="preserve">For regulatory proposals announced in 2012–13, of the 66 RISs required at the decision-making stage, 64 RISs were prepared and assessed as adequate, giving </w:t>
      </w:r>
      <w:proofErr w:type="gramStart"/>
      <w:r w:rsidRPr="00490DCE">
        <w:rPr>
          <w:rFonts w:cs="Arial"/>
        </w:rPr>
        <w:t>a compliance</w:t>
      </w:r>
      <w:proofErr w:type="gramEnd"/>
      <w:r w:rsidRPr="00490DCE">
        <w:rPr>
          <w:rFonts w:cs="Arial"/>
        </w:rPr>
        <w:t xml:space="preserve"> rate of 97 per cent. This is up from the compliance rate of 88 per cent achieved in 2011–12 (Table 2.1). The </w:t>
      </w:r>
      <w:r w:rsidRPr="00490DCE">
        <w:rPr>
          <w:rFonts w:cs="Arial"/>
        </w:rPr>
        <w:br/>
        <w:t xml:space="preserve">Prime Minister granted exceptional circumstances in eight cases, compared to five in 2011–12. </w:t>
      </w:r>
    </w:p>
    <w:p w14:paraId="2A08617D" w14:textId="77777777" w:rsidR="000A5CFA" w:rsidRPr="00490DCE" w:rsidRDefault="008D3A9D" w:rsidP="000A5CFA">
      <w:pPr>
        <w:pStyle w:val="tabletitle"/>
        <w:rPr>
          <w:rFonts w:cs="Arial"/>
        </w:rPr>
      </w:pPr>
      <w:r w:rsidRPr="00490DCE">
        <w:rPr>
          <w:rFonts w:cs="Arial"/>
        </w:rPr>
        <w:br w:type="page"/>
      </w:r>
      <w:r w:rsidR="000A5CFA" w:rsidRPr="00490DCE">
        <w:rPr>
          <w:rFonts w:cs="Arial"/>
        </w:rPr>
        <w:lastRenderedPageBreak/>
        <w:t>Table 2.1: Australian Government RIS compliance 2009–10 to 2012–13</w:t>
      </w:r>
    </w:p>
    <w:tbl>
      <w:tblPr>
        <w:tblStyle w:val="LightList"/>
        <w:tblW w:w="5000" w:type="pct"/>
        <w:tblLook w:val="0020" w:firstRow="1" w:lastRow="0" w:firstColumn="0" w:lastColumn="0" w:noHBand="0" w:noVBand="0"/>
        <w:tblDescription w:val="Australian Government RIS compliance 2009-10 to 2012-13"/>
      </w:tblPr>
      <w:tblGrid>
        <w:gridCol w:w="2584"/>
        <w:gridCol w:w="1117"/>
        <w:gridCol w:w="699"/>
        <w:gridCol w:w="1117"/>
        <w:gridCol w:w="699"/>
        <w:gridCol w:w="1117"/>
        <w:gridCol w:w="699"/>
        <w:gridCol w:w="1117"/>
        <w:gridCol w:w="699"/>
      </w:tblGrid>
      <w:tr w:rsidR="000A5CFA" w:rsidRPr="00490DCE" w14:paraId="5FCA90CB" w14:textId="77777777" w:rsidTr="007425EA">
        <w:trPr>
          <w:cnfStyle w:val="100000000000" w:firstRow="1" w:lastRow="0" w:firstColumn="0" w:lastColumn="0" w:oddVBand="0" w:evenVBand="0" w:oddHBand="0" w:evenHBand="0" w:firstRowFirstColumn="0" w:firstRowLastColumn="0" w:lastRowFirstColumn="0" w:lastRowLastColumn="0"/>
          <w:trHeight w:val="535"/>
          <w:tblHeader/>
        </w:trPr>
        <w:tc>
          <w:tcPr>
            <w:cnfStyle w:val="000010000000" w:firstRow="0" w:lastRow="0" w:firstColumn="0" w:lastColumn="0" w:oddVBand="1" w:evenVBand="0" w:oddHBand="0" w:evenHBand="0" w:firstRowFirstColumn="0" w:firstRowLastColumn="0" w:lastRowFirstColumn="0" w:lastRowLastColumn="0"/>
            <w:tcW w:w="1312" w:type="pct"/>
          </w:tcPr>
          <w:p w14:paraId="1E90C7FD"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Stage</w:t>
            </w:r>
            <w:r w:rsidRPr="00490DCE">
              <w:rPr>
                <w:rStyle w:val="bold"/>
                <w:rFonts w:ascii="Arial" w:hAnsi="Arial" w:cs="Arial"/>
                <w:color w:val="auto"/>
              </w:rPr>
              <w:tab/>
            </w:r>
          </w:p>
        </w:tc>
        <w:tc>
          <w:tcPr>
            <w:tcW w:w="567" w:type="pct"/>
          </w:tcPr>
          <w:p w14:paraId="3354E4A4"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2009–10</w:t>
            </w:r>
            <w:r w:rsidRPr="00490DCE">
              <w:rPr>
                <w:rFonts w:ascii="Arial" w:hAnsi="Arial" w:cs="Arial"/>
                <w:color w:val="auto"/>
              </w:rPr>
              <w:br/>
              <w:t>ratio</w:t>
            </w:r>
          </w:p>
        </w:tc>
        <w:tc>
          <w:tcPr>
            <w:cnfStyle w:val="000010000000" w:firstRow="0" w:lastRow="0" w:firstColumn="0" w:lastColumn="0" w:oddVBand="1" w:evenVBand="0" w:oddHBand="0" w:evenHBand="0" w:firstRowFirstColumn="0" w:firstRowLastColumn="0" w:lastRowFirstColumn="0" w:lastRowLastColumn="0"/>
            <w:tcW w:w="355" w:type="pct"/>
          </w:tcPr>
          <w:p w14:paraId="5AD4361A" w14:textId="77777777" w:rsidR="000A5CFA" w:rsidRPr="00490DCE" w:rsidRDefault="000A5CFA" w:rsidP="0019227F">
            <w:pPr>
              <w:pStyle w:val="tablehead"/>
              <w:jc w:val="right"/>
              <w:outlineLvl w:val="3"/>
              <w:rPr>
                <w:rFonts w:ascii="Arial" w:hAnsi="Arial" w:cs="Arial"/>
                <w:color w:val="auto"/>
              </w:rPr>
            </w:pPr>
            <w:r w:rsidRPr="00490DCE">
              <w:rPr>
                <w:rFonts w:ascii="Arial" w:hAnsi="Arial" w:cs="Arial"/>
                <w:color w:val="auto"/>
              </w:rPr>
              <w:t>%</w:t>
            </w:r>
          </w:p>
        </w:tc>
        <w:tc>
          <w:tcPr>
            <w:tcW w:w="567" w:type="pct"/>
          </w:tcPr>
          <w:p w14:paraId="1A2C6B13"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2010–11</w:t>
            </w:r>
            <w:r w:rsidRPr="00490DCE">
              <w:rPr>
                <w:rFonts w:ascii="Arial" w:hAnsi="Arial" w:cs="Arial"/>
                <w:color w:val="auto"/>
              </w:rPr>
              <w:br/>
              <w:t>ratio</w:t>
            </w:r>
          </w:p>
        </w:tc>
        <w:tc>
          <w:tcPr>
            <w:cnfStyle w:val="000010000000" w:firstRow="0" w:lastRow="0" w:firstColumn="0" w:lastColumn="0" w:oddVBand="1" w:evenVBand="0" w:oddHBand="0" w:evenHBand="0" w:firstRowFirstColumn="0" w:firstRowLastColumn="0" w:lastRowFirstColumn="0" w:lastRowLastColumn="0"/>
            <w:tcW w:w="355" w:type="pct"/>
          </w:tcPr>
          <w:p w14:paraId="35147365" w14:textId="77777777" w:rsidR="000A5CFA" w:rsidRPr="00490DCE" w:rsidRDefault="000A5CFA" w:rsidP="0019227F">
            <w:pPr>
              <w:pStyle w:val="tablehead"/>
              <w:jc w:val="right"/>
              <w:outlineLvl w:val="3"/>
              <w:rPr>
                <w:rFonts w:ascii="Arial" w:hAnsi="Arial" w:cs="Arial"/>
                <w:color w:val="auto"/>
              </w:rPr>
            </w:pPr>
            <w:r w:rsidRPr="00490DCE">
              <w:rPr>
                <w:rFonts w:ascii="Arial" w:hAnsi="Arial" w:cs="Arial"/>
                <w:color w:val="auto"/>
              </w:rPr>
              <w:t>%</w:t>
            </w:r>
          </w:p>
        </w:tc>
        <w:tc>
          <w:tcPr>
            <w:tcW w:w="567" w:type="pct"/>
          </w:tcPr>
          <w:p w14:paraId="6C9BCC12"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2011–12</w:t>
            </w:r>
            <w:r w:rsidRPr="00490DCE">
              <w:rPr>
                <w:rFonts w:ascii="Arial" w:hAnsi="Arial" w:cs="Arial"/>
                <w:color w:val="auto"/>
              </w:rPr>
              <w:br/>
              <w:t>ratio</w:t>
            </w:r>
          </w:p>
        </w:tc>
        <w:tc>
          <w:tcPr>
            <w:cnfStyle w:val="000010000000" w:firstRow="0" w:lastRow="0" w:firstColumn="0" w:lastColumn="0" w:oddVBand="1" w:evenVBand="0" w:oddHBand="0" w:evenHBand="0" w:firstRowFirstColumn="0" w:firstRowLastColumn="0" w:lastRowFirstColumn="0" w:lastRowLastColumn="0"/>
            <w:tcW w:w="355" w:type="pct"/>
          </w:tcPr>
          <w:p w14:paraId="2FF0BB56" w14:textId="77777777" w:rsidR="000A5CFA" w:rsidRPr="00490DCE" w:rsidRDefault="000A5CFA" w:rsidP="0019227F">
            <w:pPr>
              <w:pStyle w:val="tablehead"/>
              <w:jc w:val="right"/>
              <w:outlineLvl w:val="3"/>
              <w:rPr>
                <w:rFonts w:ascii="Arial" w:hAnsi="Arial" w:cs="Arial"/>
                <w:color w:val="auto"/>
              </w:rPr>
            </w:pPr>
            <w:r w:rsidRPr="00490DCE">
              <w:rPr>
                <w:rFonts w:ascii="Arial" w:hAnsi="Arial" w:cs="Arial"/>
                <w:color w:val="auto"/>
              </w:rPr>
              <w:t>%</w:t>
            </w:r>
          </w:p>
        </w:tc>
        <w:tc>
          <w:tcPr>
            <w:tcW w:w="567" w:type="pct"/>
          </w:tcPr>
          <w:p w14:paraId="414FA231"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2012–13</w:t>
            </w:r>
            <w:r w:rsidRPr="00490DCE">
              <w:rPr>
                <w:rFonts w:ascii="Arial" w:hAnsi="Arial" w:cs="Arial"/>
                <w:color w:val="auto"/>
              </w:rPr>
              <w:br/>
              <w:t>ratio</w:t>
            </w:r>
          </w:p>
        </w:tc>
        <w:tc>
          <w:tcPr>
            <w:cnfStyle w:val="000010000000" w:firstRow="0" w:lastRow="0" w:firstColumn="0" w:lastColumn="0" w:oddVBand="1" w:evenVBand="0" w:oddHBand="0" w:evenHBand="0" w:firstRowFirstColumn="0" w:firstRowLastColumn="0" w:lastRowFirstColumn="0" w:lastRowLastColumn="0"/>
            <w:tcW w:w="355" w:type="pct"/>
          </w:tcPr>
          <w:p w14:paraId="270E0460" w14:textId="77777777" w:rsidR="000A5CFA" w:rsidRPr="00490DCE" w:rsidRDefault="000A5CFA" w:rsidP="0019227F">
            <w:pPr>
              <w:pStyle w:val="tablehead"/>
              <w:jc w:val="right"/>
              <w:outlineLvl w:val="3"/>
              <w:rPr>
                <w:rFonts w:ascii="Arial" w:hAnsi="Arial" w:cs="Arial"/>
                <w:color w:val="auto"/>
              </w:rPr>
            </w:pPr>
            <w:r w:rsidRPr="00490DCE">
              <w:rPr>
                <w:rFonts w:ascii="Arial" w:hAnsi="Arial" w:cs="Arial"/>
                <w:color w:val="auto"/>
              </w:rPr>
              <w:t>%</w:t>
            </w:r>
          </w:p>
        </w:tc>
      </w:tr>
      <w:tr w:rsidR="000A5CFA" w:rsidRPr="00490DCE" w14:paraId="63B632D9" w14:textId="77777777" w:rsidTr="002C252F">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1312" w:type="pct"/>
          </w:tcPr>
          <w:p w14:paraId="7921A53E" w14:textId="77777777" w:rsidR="000A5CFA" w:rsidRPr="00490DCE" w:rsidRDefault="000A5CFA">
            <w:pPr>
              <w:pStyle w:val="body"/>
              <w:rPr>
                <w:rFonts w:ascii="Arial" w:hAnsi="Arial" w:cs="Arial"/>
                <w:color w:val="auto"/>
              </w:rPr>
            </w:pPr>
            <w:r w:rsidRPr="00490DCE">
              <w:rPr>
                <w:rFonts w:ascii="Arial" w:hAnsi="Arial" w:cs="Arial"/>
                <w:color w:val="auto"/>
              </w:rPr>
              <w:t xml:space="preserve">Decision-making stage </w:t>
            </w:r>
          </w:p>
        </w:tc>
        <w:tc>
          <w:tcPr>
            <w:tcW w:w="567" w:type="pct"/>
          </w:tcPr>
          <w:p w14:paraId="1ACD3223"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63/75</w:t>
            </w:r>
          </w:p>
        </w:tc>
        <w:tc>
          <w:tcPr>
            <w:cnfStyle w:val="000010000000" w:firstRow="0" w:lastRow="0" w:firstColumn="0" w:lastColumn="0" w:oddVBand="1" w:evenVBand="0" w:oddHBand="0" w:evenHBand="0" w:firstRowFirstColumn="0" w:firstRowLastColumn="0" w:lastRowFirstColumn="0" w:lastRowLastColumn="0"/>
            <w:tcW w:w="355" w:type="pct"/>
          </w:tcPr>
          <w:p w14:paraId="4D0930DF" w14:textId="77777777" w:rsidR="000A5CFA" w:rsidRPr="00490DCE" w:rsidRDefault="000A5CFA">
            <w:pPr>
              <w:pStyle w:val="body"/>
              <w:jc w:val="right"/>
              <w:rPr>
                <w:rFonts w:ascii="Arial" w:hAnsi="Arial" w:cs="Arial"/>
                <w:color w:val="auto"/>
              </w:rPr>
            </w:pPr>
            <w:r w:rsidRPr="00490DCE">
              <w:rPr>
                <w:rFonts w:ascii="Arial" w:hAnsi="Arial" w:cs="Arial"/>
                <w:color w:val="auto"/>
              </w:rPr>
              <w:t>84</w:t>
            </w:r>
          </w:p>
        </w:tc>
        <w:tc>
          <w:tcPr>
            <w:tcW w:w="567" w:type="pct"/>
          </w:tcPr>
          <w:p w14:paraId="74A4B1C7"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47/63</w:t>
            </w:r>
          </w:p>
        </w:tc>
        <w:tc>
          <w:tcPr>
            <w:cnfStyle w:val="000010000000" w:firstRow="0" w:lastRow="0" w:firstColumn="0" w:lastColumn="0" w:oddVBand="1" w:evenVBand="0" w:oddHBand="0" w:evenHBand="0" w:firstRowFirstColumn="0" w:firstRowLastColumn="0" w:lastRowFirstColumn="0" w:lastRowLastColumn="0"/>
            <w:tcW w:w="355" w:type="pct"/>
          </w:tcPr>
          <w:p w14:paraId="6D45062B" w14:textId="77777777" w:rsidR="000A5CFA" w:rsidRPr="00490DCE" w:rsidRDefault="000A5CFA">
            <w:pPr>
              <w:pStyle w:val="body"/>
              <w:jc w:val="right"/>
              <w:rPr>
                <w:rFonts w:ascii="Arial" w:hAnsi="Arial" w:cs="Arial"/>
                <w:color w:val="auto"/>
              </w:rPr>
            </w:pPr>
            <w:r w:rsidRPr="00490DCE">
              <w:rPr>
                <w:rFonts w:ascii="Arial" w:hAnsi="Arial" w:cs="Arial"/>
                <w:color w:val="auto"/>
              </w:rPr>
              <w:t>75</w:t>
            </w:r>
          </w:p>
        </w:tc>
        <w:tc>
          <w:tcPr>
            <w:tcW w:w="567" w:type="pct"/>
          </w:tcPr>
          <w:p w14:paraId="0C0A8899"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69/78</w:t>
            </w:r>
          </w:p>
        </w:tc>
        <w:tc>
          <w:tcPr>
            <w:cnfStyle w:val="000010000000" w:firstRow="0" w:lastRow="0" w:firstColumn="0" w:lastColumn="0" w:oddVBand="1" w:evenVBand="0" w:oddHBand="0" w:evenHBand="0" w:firstRowFirstColumn="0" w:firstRowLastColumn="0" w:lastRowFirstColumn="0" w:lastRowLastColumn="0"/>
            <w:tcW w:w="355" w:type="pct"/>
          </w:tcPr>
          <w:p w14:paraId="0B271B7E" w14:textId="77777777" w:rsidR="000A5CFA" w:rsidRPr="00490DCE" w:rsidRDefault="000A5CFA">
            <w:pPr>
              <w:pStyle w:val="body"/>
              <w:jc w:val="right"/>
              <w:rPr>
                <w:rFonts w:ascii="Arial" w:hAnsi="Arial" w:cs="Arial"/>
                <w:color w:val="auto"/>
              </w:rPr>
            </w:pPr>
            <w:r w:rsidRPr="00490DCE">
              <w:rPr>
                <w:rFonts w:ascii="Arial" w:hAnsi="Arial" w:cs="Arial"/>
                <w:color w:val="auto"/>
              </w:rPr>
              <w:t>88</w:t>
            </w:r>
          </w:p>
        </w:tc>
        <w:tc>
          <w:tcPr>
            <w:tcW w:w="567" w:type="pct"/>
          </w:tcPr>
          <w:p w14:paraId="7656764E"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64/66</w:t>
            </w:r>
          </w:p>
        </w:tc>
        <w:tc>
          <w:tcPr>
            <w:cnfStyle w:val="000010000000" w:firstRow="0" w:lastRow="0" w:firstColumn="0" w:lastColumn="0" w:oddVBand="1" w:evenVBand="0" w:oddHBand="0" w:evenHBand="0" w:firstRowFirstColumn="0" w:firstRowLastColumn="0" w:lastRowFirstColumn="0" w:lastRowLastColumn="0"/>
            <w:tcW w:w="355" w:type="pct"/>
          </w:tcPr>
          <w:p w14:paraId="6E057DC0" w14:textId="77777777" w:rsidR="000A5CFA" w:rsidRPr="00490DCE" w:rsidRDefault="000A5CFA">
            <w:pPr>
              <w:pStyle w:val="body"/>
              <w:jc w:val="right"/>
              <w:rPr>
                <w:rFonts w:ascii="Arial" w:hAnsi="Arial" w:cs="Arial"/>
                <w:color w:val="auto"/>
              </w:rPr>
            </w:pPr>
            <w:r w:rsidRPr="00490DCE">
              <w:rPr>
                <w:rFonts w:ascii="Arial" w:hAnsi="Arial" w:cs="Arial"/>
                <w:color w:val="auto"/>
              </w:rPr>
              <w:t>97</w:t>
            </w:r>
          </w:p>
        </w:tc>
      </w:tr>
      <w:tr w:rsidR="000A5CFA" w:rsidRPr="00490DCE" w14:paraId="181809CA" w14:textId="77777777" w:rsidTr="002C252F">
        <w:trPr>
          <w:trHeight w:val="315"/>
        </w:trPr>
        <w:tc>
          <w:tcPr>
            <w:cnfStyle w:val="000010000000" w:firstRow="0" w:lastRow="0" w:firstColumn="0" w:lastColumn="0" w:oddVBand="1" w:evenVBand="0" w:oddHBand="0" w:evenHBand="0" w:firstRowFirstColumn="0" w:firstRowLastColumn="0" w:lastRowFirstColumn="0" w:lastRowLastColumn="0"/>
            <w:tcW w:w="1312" w:type="pct"/>
          </w:tcPr>
          <w:p w14:paraId="5FC991A9" w14:textId="77777777" w:rsidR="000A5CFA" w:rsidRPr="00490DCE" w:rsidRDefault="000A5CFA">
            <w:pPr>
              <w:pStyle w:val="body"/>
              <w:rPr>
                <w:rFonts w:ascii="Arial" w:hAnsi="Arial" w:cs="Arial"/>
                <w:color w:val="auto"/>
              </w:rPr>
            </w:pPr>
            <w:r w:rsidRPr="00490DCE">
              <w:rPr>
                <w:rFonts w:ascii="Arial" w:hAnsi="Arial" w:cs="Arial"/>
                <w:color w:val="auto"/>
              </w:rPr>
              <w:t>Transparency stage</w:t>
            </w:r>
            <w:r w:rsidRPr="00490DCE">
              <w:rPr>
                <w:rStyle w:val="super"/>
                <w:rFonts w:cs="Arial"/>
                <w:color w:val="auto"/>
              </w:rPr>
              <w:t>a</w:t>
            </w:r>
          </w:p>
        </w:tc>
        <w:tc>
          <w:tcPr>
            <w:tcW w:w="567" w:type="pct"/>
          </w:tcPr>
          <w:p w14:paraId="52E5F0A3"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59/74</w:t>
            </w:r>
          </w:p>
        </w:tc>
        <w:tc>
          <w:tcPr>
            <w:cnfStyle w:val="000010000000" w:firstRow="0" w:lastRow="0" w:firstColumn="0" w:lastColumn="0" w:oddVBand="1" w:evenVBand="0" w:oddHBand="0" w:evenHBand="0" w:firstRowFirstColumn="0" w:firstRowLastColumn="0" w:lastRowFirstColumn="0" w:lastRowLastColumn="0"/>
            <w:tcW w:w="355" w:type="pct"/>
          </w:tcPr>
          <w:p w14:paraId="5A4D7ACD" w14:textId="77777777" w:rsidR="000A5CFA" w:rsidRPr="00490DCE" w:rsidRDefault="000A5CFA">
            <w:pPr>
              <w:pStyle w:val="body"/>
              <w:jc w:val="right"/>
              <w:rPr>
                <w:rFonts w:ascii="Arial" w:hAnsi="Arial" w:cs="Arial"/>
                <w:color w:val="auto"/>
              </w:rPr>
            </w:pPr>
            <w:r w:rsidRPr="00490DCE">
              <w:rPr>
                <w:rFonts w:ascii="Arial" w:hAnsi="Arial" w:cs="Arial"/>
                <w:color w:val="auto"/>
              </w:rPr>
              <w:t>80</w:t>
            </w:r>
          </w:p>
        </w:tc>
        <w:tc>
          <w:tcPr>
            <w:tcW w:w="567" w:type="pct"/>
          </w:tcPr>
          <w:p w14:paraId="696CDF4A"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45/63</w:t>
            </w:r>
          </w:p>
        </w:tc>
        <w:tc>
          <w:tcPr>
            <w:cnfStyle w:val="000010000000" w:firstRow="0" w:lastRow="0" w:firstColumn="0" w:lastColumn="0" w:oddVBand="1" w:evenVBand="0" w:oddHBand="0" w:evenHBand="0" w:firstRowFirstColumn="0" w:firstRowLastColumn="0" w:lastRowFirstColumn="0" w:lastRowLastColumn="0"/>
            <w:tcW w:w="355" w:type="pct"/>
          </w:tcPr>
          <w:p w14:paraId="10BF0B67" w14:textId="77777777" w:rsidR="000A5CFA" w:rsidRPr="00490DCE" w:rsidRDefault="000A5CFA">
            <w:pPr>
              <w:pStyle w:val="body"/>
              <w:jc w:val="right"/>
              <w:rPr>
                <w:rFonts w:ascii="Arial" w:hAnsi="Arial" w:cs="Arial"/>
                <w:color w:val="auto"/>
              </w:rPr>
            </w:pPr>
            <w:r w:rsidRPr="00490DCE">
              <w:rPr>
                <w:rFonts w:ascii="Arial" w:hAnsi="Arial" w:cs="Arial"/>
                <w:color w:val="auto"/>
              </w:rPr>
              <w:t>71</w:t>
            </w:r>
          </w:p>
        </w:tc>
        <w:tc>
          <w:tcPr>
            <w:tcW w:w="567" w:type="pct"/>
          </w:tcPr>
          <w:p w14:paraId="0C252904"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70/78</w:t>
            </w:r>
          </w:p>
        </w:tc>
        <w:tc>
          <w:tcPr>
            <w:cnfStyle w:val="000010000000" w:firstRow="0" w:lastRow="0" w:firstColumn="0" w:lastColumn="0" w:oddVBand="1" w:evenVBand="0" w:oddHBand="0" w:evenHBand="0" w:firstRowFirstColumn="0" w:firstRowLastColumn="0" w:lastRowFirstColumn="0" w:lastRowLastColumn="0"/>
            <w:tcW w:w="355" w:type="pct"/>
          </w:tcPr>
          <w:p w14:paraId="08A33395" w14:textId="77777777" w:rsidR="000A5CFA" w:rsidRPr="00490DCE" w:rsidRDefault="000A5CFA">
            <w:pPr>
              <w:pStyle w:val="body"/>
              <w:jc w:val="right"/>
              <w:rPr>
                <w:rFonts w:ascii="Arial" w:hAnsi="Arial" w:cs="Arial"/>
                <w:color w:val="auto"/>
              </w:rPr>
            </w:pPr>
            <w:r w:rsidRPr="00490DCE">
              <w:rPr>
                <w:rFonts w:ascii="Arial" w:hAnsi="Arial" w:cs="Arial"/>
                <w:color w:val="auto"/>
              </w:rPr>
              <w:t>90</w:t>
            </w:r>
          </w:p>
        </w:tc>
        <w:tc>
          <w:tcPr>
            <w:tcW w:w="567" w:type="pct"/>
          </w:tcPr>
          <w:p w14:paraId="77FE8649"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62/66</w:t>
            </w:r>
          </w:p>
        </w:tc>
        <w:tc>
          <w:tcPr>
            <w:cnfStyle w:val="000010000000" w:firstRow="0" w:lastRow="0" w:firstColumn="0" w:lastColumn="0" w:oddVBand="1" w:evenVBand="0" w:oddHBand="0" w:evenHBand="0" w:firstRowFirstColumn="0" w:firstRowLastColumn="0" w:lastRowFirstColumn="0" w:lastRowLastColumn="0"/>
            <w:tcW w:w="355" w:type="pct"/>
          </w:tcPr>
          <w:p w14:paraId="7A729055" w14:textId="77777777" w:rsidR="000A5CFA" w:rsidRPr="00490DCE" w:rsidRDefault="000A5CFA">
            <w:pPr>
              <w:pStyle w:val="body"/>
              <w:jc w:val="right"/>
              <w:rPr>
                <w:rFonts w:ascii="Arial" w:hAnsi="Arial" w:cs="Arial"/>
                <w:color w:val="auto"/>
              </w:rPr>
            </w:pPr>
            <w:r w:rsidRPr="00490DCE">
              <w:rPr>
                <w:rFonts w:ascii="Arial" w:hAnsi="Arial" w:cs="Arial"/>
                <w:color w:val="auto"/>
              </w:rPr>
              <w:t>94</w:t>
            </w:r>
          </w:p>
        </w:tc>
      </w:tr>
      <w:tr w:rsidR="000A5CFA" w:rsidRPr="00490DCE" w14:paraId="12FBB3E1" w14:textId="77777777" w:rsidTr="002C252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312" w:type="pct"/>
          </w:tcPr>
          <w:p w14:paraId="6D3C3610" w14:textId="77777777" w:rsidR="000A5CFA" w:rsidRPr="00490DCE" w:rsidRDefault="000A5CFA">
            <w:pPr>
              <w:pStyle w:val="body"/>
              <w:rPr>
                <w:rFonts w:ascii="Arial" w:hAnsi="Arial" w:cs="Arial"/>
                <w:color w:val="auto"/>
              </w:rPr>
            </w:pPr>
            <w:r w:rsidRPr="00490DCE">
              <w:rPr>
                <w:rFonts w:ascii="Arial" w:hAnsi="Arial" w:cs="Arial"/>
                <w:color w:val="auto"/>
              </w:rPr>
              <w:t>Exceptional circumstances</w:t>
            </w:r>
          </w:p>
        </w:tc>
        <w:tc>
          <w:tcPr>
            <w:tcW w:w="567" w:type="pct"/>
          </w:tcPr>
          <w:p w14:paraId="39F3000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4</w:t>
            </w:r>
          </w:p>
        </w:tc>
        <w:tc>
          <w:tcPr>
            <w:cnfStyle w:val="000010000000" w:firstRow="0" w:lastRow="0" w:firstColumn="0" w:lastColumn="0" w:oddVBand="1" w:evenVBand="0" w:oddHBand="0" w:evenHBand="0" w:firstRowFirstColumn="0" w:firstRowLastColumn="0" w:lastRowFirstColumn="0" w:lastRowLastColumn="0"/>
            <w:tcW w:w="355" w:type="pct"/>
          </w:tcPr>
          <w:p w14:paraId="3A558621" w14:textId="77777777" w:rsidR="000A5CFA" w:rsidRPr="00490DCE" w:rsidRDefault="000A5CFA">
            <w:pPr>
              <w:pStyle w:val="NoParagraphStyle"/>
              <w:spacing w:line="240" w:lineRule="auto"/>
              <w:textAlignment w:val="auto"/>
              <w:rPr>
                <w:rFonts w:ascii="Arial" w:hAnsi="Arial" w:cs="Arial"/>
                <w:color w:val="auto"/>
                <w:lang w:val="en-US"/>
              </w:rPr>
            </w:pPr>
          </w:p>
        </w:tc>
        <w:tc>
          <w:tcPr>
            <w:tcW w:w="567" w:type="pct"/>
          </w:tcPr>
          <w:p w14:paraId="7E077B8C"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14</w:t>
            </w:r>
          </w:p>
        </w:tc>
        <w:tc>
          <w:tcPr>
            <w:cnfStyle w:val="000010000000" w:firstRow="0" w:lastRow="0" w:firstColumn="0" w:lastColumn="0" w:oddVBand="1" w:evenVBand="0" w:oddHBand="0" w:evenHBand="0" w:firstRowFirstColumn="0" w:firstRowLastColumn="0" w:lastRowFirstColumn="0" w:lastRowLastColumn="0"/>
            <w:tcW w:w="355" w:type="pct"/>
          </w:tcPr>
          <w:p w14:paraId="001BA8B8" w14:textId="77777777" w:rsidR="000A5CFA" w:rsidRPr="00490DCE" w:rsidRDefault="000A5CFA">
            <w:pPr>
              <w:pStyle w:val="NoParagraphStyle"/>
              <w:spacing w:line="240" w:lineRule="auto"/>
              <w:textAlignment w:val="auto"/>
              <w:rPr>
                <w:rFonts w:ascii="Arial" w:hAnsi="Arial" w:cs="Arial"/>
                <w:color w:val="auto"/>
                <w:lang w:val="en-US"/>
              </w:rPr>
            </w:pPr>
          </w:p>
        </w:tc>
        <w:tc>
          <w:tcPr>
            <w:tcW w:w="567" w:type="pct"/>
          </w:tcPr>
          <w:p w14:paraId="40243BE3"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5</w:t>
            </w:r>
          </w:p>
        </w:tc>
        <w:tc>
          <w:tcPr>
            <w:cnfStyle w:val="000010000000" w:firstRow="0" w:lastRow="0" w:firstColumn="0" w:lastColumn="0" w:oddVBand="1" w:evenVBand="0" w:oddHBand="0" w:evenHBand="0" w:firstRowFirstColumn="0" w:firstRowLastColumn="0" w:lastRowFirstColumn="0" w:lastRowLastColumn="0"/>
            <w:tcW w:w="355" w:type="pct"/>
          </w:tcPr>
          <w:p w14:paraId="491A5147" w14:textId="77777777" w:rsidR="000A5CFA" w:rsidRPr="00490DCE" w:rsidRDefault="000A5CFA">
            <w:pPr>
              <w:pStyle w:val="NoParagraphStyle"/>
              <w:spacing w:line="240" w:lineRule="auto"/>
              <w:textAlignment w:val="auto"/>
              <w:rPr>
                <w:rFonts w:ascii="Arial" w:hAnsi="Arial" w:cs="Arial"/>
                <w:color w:val="auto"/>
                <w:lang w:val="en-US"/>
              </w:rPr>
            </w:pPr>
          </w:p>
        </w:tc>
        <w:tc>
          <w:tcPr>
            <w:tcW w:w="567" w:type="pct"/>
          </w:tcPr>
          <w:p w14:paraId="11ACE28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8</w:t>
            </w:r>
          </w:p>
        </w:tc>
        <w:tc>
          <w:tcPr>
            <w:cnfStyle w:val="000010000000" w:firstRow="0" w:lastRow="0" w:firstColumn="0" w:lastColumn="0" w:oddVBand="1" w:evenVBand="0" w:oddHBand="0" w:evenHBand="0" w:firstRowFirstColumn="0" w:firstRowLastColumn="0" w:lastRowFirstColumn="0" w:lastRowLastColumn="0"/>
            <w:tcW w:w="355" w:type="pct"/>
          </w:tcPr>
          <w:p w14:paraId="307BA87E" w14:textId="77777777" w:rsidR="000A5CFA" w:rsidRPr="00490DCE" w:rsidRDefault="000A5CFA">
            <w:pPr>
              <w:pStyle w:val="NoParagraphStyle"/>
              <w:spacing w:line="240" w:lineRule="auto"/>
              <w:textAlignment w:val="auto"/>
              <w:rPr>
                <w:rFonts w:ascii="Arial" w:hAnsi="Arial" w:cs="Arial"/>
                <w:color w:val="auto"/>
                <w:lang w:val="en-US"/>
              </w:rPr>
            </w:pPr>
          </w:p>
        </w:tc>
      </w:tr>
    </w:tbl>
    <w:p w14:paraId="5D308ADD" w14:textId="77777777" w:rsidR="000A5CFA" w:rsidRPr="00490DCE" w:rsidRDefault="000A5CFA">
      <w:pPr>
        <w:pStyle w:val="body"/>
        <w:rPr>
          <w:rFonts w:ascii="Arial" w:hAnsi="Arial" w:cs="Arial"/>
          <w:color w:val="auto"/>
          <w:spacing w:val="-2"/>
          <w:position w:val="4"/>
          <w:sz w:val="14"/>
          <w:szCs w:val="14"/>
        </w:rPr>
      </w:pPr>
    </w:p>
    <w:p w14:paraId="2A4C2F1B" w14:textId="77777777" w:rsidR="000A5CFA" w:rsidRPr="00490DCE" w:rsidRDefault="000A5CFA" w:rsidP="000A5CFA">
      <w:pPr>
        <w:pStyle w:val="note"/>
        <w:rPr>
          <w:rStyle w:val="italic"/>
          <w:rFonts w:cs="Arial"/>
          <w:color w:val="auto"/>
        </w:rPr>
      </w:pPr>
      <w:proofErr w:type="spellStart"/>
      <w:proofErr w:type="gramStart"/>
      <w:r w:rsidRPr="00490DCE">
        <w:rPr>
          <w:rStyle w:val="super"/>
          <w:rFonts w:cs="Arial"/>
          <w:color w:val="auto"/>
        </w:rPr>
        <w:t>a</w:t>
      </w:r>
      <w:proofErr w:type="spellEnd"/>
      <w:proofErr w:type="gramEnd"/>
      <w:r w:rsidRPr="00490DCE">
        <w:rPr>
          <w:rStyle w:val="super"/>
          <w:rFonts w:cs="Arial"/>
          <w:color w:val="auto"/>
        </w:rPr>
        <w:t xml:space="preserve"> </w:t>
      </w:r>
      <w:r w:rsidRPr="00947FCF">
        <w:rPr>
          <w:rStyle w:val="italic"/>
          <w:rFonts w:cs="Arial"/>
          <w:i/>
          <w:color w:val="auto"/>
        </w:rPr>
        <w:t>The number of RISs required at the transparency stage can be lower than at the decision-making stage because some regulations are subject to multiple decision-making processes. For example, RISs are required for treaties at two separate decision-making stages</w:t>
      </w:r>
      <w:r w:rsidRPr="00490DCE">
        <w:rPr>
          <w:rStyle w:val="italic"/>
          <w:rFonts w:cs="Arial"/>
          <w:color w:val="auto"/>
        </w:rPr>
        <w:t>.</w:t>
      </w:r>
    </w:p>
    <w:p w14:paraId="47B7EB16" w14:textId="77777777" w:rsidR="000A5CFA" w:rsidRPr="00490DCE" w:rsidRDefault="000A5CFA" w:rsidP="00E804F7">
      <w:pPr>
        <w:pStyle w:val="Heading4"/>
        <w:rPr>
          <w:rFonts w:cs="Arial"/>
        </w:rPr>
      </w:pPr>
      <w:r w:rsidRPr="00490DCE">
        <w:rPr>
          <w:rFonts w:cs="Arial"/>
        </w:rPr>
        <w:t>Exceptional circumstances</w:t>
      </w:r>
    </w:p>
    <w:p w14:paraId="75C28162" w14:textId="77777777" w:rsidR="000A5CFA" w:rsidRPr="00490DCE" w:rsidRDefault="000A5CFA" w:rsidP="000A5CFA">
      <w:pPr>
        <w:rPr>
          <w:rFonts w:cs="Arial"/>
        </w:rPr>
      </w:pPr>
      <w:r w:rsidRPr="00490DCE">
        <w:rPr>
          <w:rFonts w:cs="Arial"/>
        </w:rPr>
        <w:t>Although a RIS was not prepared for these matters, the relevant departments have complied with the requirements but will need to commence a PIR within one to two years of the regulations being implemented (Table 2.2). Further information for these regulations is provided in Chapter 5.</w:t>
      </w:r>
    </w:p>
    <w:p w14:paraId="41EA7700" w14:textId="77777777" w:rsidR="000A5CFA" w:rsidRPr="00490DCE" w:rsidRDefault="000A5CFA">
      <w:pPr>
        <w:pStyle w:val="tabletitle"/>
        <w:rPr>
          <w:rFonts w:cs="Arial"/>
        </w:rPr>
      </w:pPr>
      <w:r w:rsidRPr="00490DCE">
        <w:rPr>
          <w:rFonts w:cs="Arial"/>
        </w:rPr>
        <w:t>Table 2.2: Proposals granted Prime Minister’s ‘exceptional circumstances’ 2012–13</w:t>
      </w:r>
    </w:p>
    <w:tbl>
      <w:tblPr>
        <w:tblStyle w:val="LightList"/>
        <w:tblW w:w="5000" w:type="pct"/>
        <w:tblLook w:val="0020" w:firstRow="1" w:lastRow="0" w:firstColumn="0" w:lastColumn="0" w:noHBand="0" w:noVBand="0"/>
        <w:tblDescription w:val="List of proposals granted Prime Minister's exemptions"/>
      </w:tblPr>
      <w:tblGrid>
        <w:gridCol w:w="4850"/>
        <w:gridCol w:w="2499"/>
        <w:gridCol w:w="2499"/>
      </w:tblGrid>
      <w:tr w:rsidR="000A5CFA" w:rsidRPr="00490DCE" w14:paraId="17635494" w14:textId="77777777" w:rsidTr="007425EA">
        <w:trPr>
          <w:cnfStyle w:val="100000000000" w:firstRow="1" w:lastRow="0" w:firstColumn="0" w:lastColumn="0" w:oddVBand="0" w:evenVBand="0" w:oddHBand="0" w:evenHBand="0" w:firstRowFirstColumn="0" w:firstRowLastColumn="0" w:lastRowFirstColumn="0" w:lastRowLastColumn="0"/>
          <w:trHeight w:val="401"/>
          <w:tblHeader/>
        </w:trPr>
        <w:tc>
          <w:tcPr>
            <w:cnfStyle w:val="000010000000" w:firstRow="0" w:lastRow="0" w:firstColumn="0" w:lastColumn="0" w:oddVBand="1" w:evenVBand="0" w:oddHBand="0" w:evenHBand="0" w:firstRowFirstColumn="0" w:firstRowLastColumn="0" w:lastRowFirstColumn="0" w:lastRowLastColumn="0"/>
            <w:tcW w:w="2462" w:type="pct"/>
          </w:tcPr>
          <w:p w14:paraId="5AE41224" w14:textId="77777777" w:rsidR="000A5CFA" w:rsidRPr="00490DCE" w:rsidRDefault="000A5CFA" w:rsidP="0019227F">
            <w:pPr>
              <w:pStyle w:val="tablehead"/>
              <w:outlineLvl w:val="3"/>
              <w:rPr>
                <w:rFonts w:ascii="Arial" w:hAnsi="Arial" w:cs="Arial"/>
                <w:color w:val="auto"/>
              </w:rPr>
            </w:pPr>
            <w:r w:rsidRPr="00490DCE">
              <w:rPr>
                <w:rFonts w:ascii="Arial" w:hAnsi="Arial" w:cs="Arial"/>
                <w:color w:val="auto"/>
              </w:rPr>
              <w:t>Proposal</w:t>
            </w:r>
          </w:p>
        </w:tc>
        <w:tc>
          <w:tcPr>
            <w:tcW w:w="1269" w:type="pct"/>
          </w:tcPr>
          <w:p w14:paraId="7A98D26E" w14:textId="77777777" w:rsidR="000A5CFA" w:rsidRPr="00490DC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Department</w:t>
            </w:r>
          </w:p>
        </w:tc>
        <w:tc>
          <w:tcPr>
            <w:cnfStyle w:val="000010000000" w:firstRow="0" w:lastRow="0" w:firstColumn="0" w:lastColumn="0" w:oddVBand="1" w:evenVBand="0" w:oddHBand="0" w:evenHBand="0" w:firstRowFirstColumn="0" w:firstRowLastColumn="0" w:lastRowFirstColumn="0" w:lastRowLastColumn="0"/>
            <w:tcW w:w="1269" w:type="pct"/>
          </w:tcPr>
          <w:p w14:paraId="53CDC09E" w14:textId="77777777" w:rsidR="000A5CFA" w:rsidRPr="00490DCE" w:rsidRDefault="000A5CFA" w:rsidP="0019227F">
            <w:pPr>
              <w:pStyle w:val="tablehead"/>
              <w:outlineLvl w:val="3"/>
              <w:rPr>
                <w:rFonts w:ascii="Arial" w:hAnsi="Arial" w:cs="Arial"/>
                <w:color w:val="auto"/>
              </w:rPr>
            </w:pPr>
            <w:r w:rsidRPr="00490DCE">
              <w:rPr>
                <w:rFonts w:ascii="Arial" w:hAnsi="Arial" w:cs="Arial"/>
                <w:color w:val="auto"/>
              </w:rPr>
              <w:t>Announced</w:t>
            </w:r>
          </w:p>
        </w:tc>
      </w:tr>
      <w:tr w:rsidR="000A5CFA" w:rsidRPr="00490DCE" w14:paraId="0400C230"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462" w:type="pct"/>
          </w:tcPr>
          <w:p w14:paraId="58B069D0" w14:textId="77777777" w:rsidR="000A5CFA" w:rsidRPr="00490DCE" w:rsidRDefault="000A5CFA">
            <w:pPr>
              <w:pStyle w:val="body"/>
              <w:rPr>
                <w:rFonts w:ascii="Arial" w:hAnsi="Arial" w:cs="Arial"/>
                <w:color w:val="auto"/>
              </w:rPr>
            </w:pPr>
            <w:r w:rsidRPr="00490DCE">
              <w:rPr>
                <w:rFonts w:ascii="Arial" w:hAnsi="Arial" w:cs="Arial"/>
                <w:color w:val="auto"/>
                <w:spacing w:val="-2"/>
              </w:rPr>
              <w:t>New fishing activities of size and scale unprecedented in Commonwealth marine areas</w:t>
            </w:r>
          </w:p>
        </w:tc>
        <w:tc>
          <w:tcPr>
            <w:tcW w:w="1269" w:type="pct"/>
          </w:tcPr>
          <w:p w14:paraId="02D8254F"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DSEWPAC</w:t>
            </w:r>
          </w:p>
        </w:tc>
        <w:tc>
          <w:tcPr>
            <w:cnfStyle w:val="000010000000" w:firstRow="0" w:lastRow="0" w:firstColumn="0" w:lastColumn="0" w:oddVBand="1" w:evenVBand="0" w:oddHBand="0" w:evenHBand="0" w:firstRowFirstColumn="0" w:firstRowLastColumn="0" w:lastRowFirstColumn="0" w:lastRowLastColumn="0"/>
            <w:tcW w:w="1269" w:type="pct"/>
          </w:tcPr>
          <w:p w14:paraId="391C0BE2" w14:textId="77777777" w:rsidR="000A5CFA" w:rsidRPr="00490DCE" w:rsidRDefault="000A5CFA">
            <w:pPr>
              <w:pStyle w:val="body"/>
              <w:rPr>
                <w:rFonts w:ascii="Arial" w:hAnsi="Arial" w:cs="Arial"/>
                <w:color w:val="auto"/>
              </w:rPr>
            </w:pPr>
            <w:r w:rsidRPr="00490DCE">
              <w:rPr>
                <w:rFonts w:ascii="Arial" w:hAnsi="Arial" w:cs="Arial"/>
                <w:color w:val="auto"/>
              </w:rPr>
              <w:t>11 September 2012</w:t>
            </w:r>
          </w:p>
        </w:tc>
      </w:tr>
      <w:tr w:rsidR="000A5CFA" w:rsidRPr="00490DCE" w14:paraId="73E7000C"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462" w:type="pct"/>
          </w:tcPr>
          <w:p w14:paraId="2C2650D4" w14:textId="77777777" w:rsidR="000A5CFA" w:rsidRPr="00490DCE" w:rsidRDefault="000A5CFA">
            <w:pPr>
              <w:pStyle w:val="body"/>
              <w:rPr>
                <w:rFonts w:ascii="Arial" w:hAnsi="Arial" w:cs="Arial"/>
                <w:color w:val="auto"/>
              </w:rPr>
            </w:pPr>
            <w:r w:rsidRPr="00490DCE">
              <w:rPr>
                <w:rFonts w:ascii="Arial" w:hAnsi="Arial" w:cs="Arial"/>
                <w:color w:val="auto"/>
              </w:rPr>
              <w:t xml:space="preserve">Amendment to the transfer of business provisions in the </w:t>
            </w:r>
            <w:r w:rsidRPr="00947FCF">
              <w:rPr>
                <w:rFonts w:ascii="Arial" w:hAnsi="Arial" w:cs="Arial"/>
                <w:i/>
                <w:color w:val="auto"/>
              </w:rPr>
              <w:t>Fair Work Act 2009</w:t>
            </w:r>
          </w:p>
        </w:tc>
        <w:tc>
          <w:tcPr>
            <w:tcW w:w="1269" w:type="pct"/>
          </w:tcPr>
          <w:p w14:paraId="54F7A0FE"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DEEWR</w:t>
            </w:r>
          </w:p>
        </w:tc>
        <w:tc>
          <w:tcPr>
            <w:cnfStyle w:val="000010000000" w:firstRow="0" w:lastRow="0" w:firstColumn="0" w:lastColumn="0" w:oddVBand="1" w:evenVBand="0" w:oddHBand="0" w:evenHBand="0" w:firstRowFirstColumn="0" w:firstRowLastColumn="0" w:lastRowFirstColumn="0" w:lastRowLastColumn="0"/>
            <w:tcW w:w="1269" w:type="pct"/>
          </w:tcPr>
          <w:p w14:paraId="3AE81128" w14:textId="77777777" w:rsidR="000A5CFA" w:rsidRPr="00490DCE" w:rsidRDefault="000A5CFA">
            <w:pPr>
              <w:pStyle w:val="body"/>
              <w:rPr>
                <w:rFonts w:ascii="Arial" w:hAnsi="Arial" w:cs="Arial"/>
                <w:color w:val="auto"/>
              </w:rPr>
            </w:pPr>
            <w:r w:rsidRPr="00490DCE">
              <w:rPr>
                <w:rFonts w:ascii="Arial" w:hAnsi="Arial" w:cs="Arial"/>
                <w:color w:val="auto"/>
              </w:rPr>
              <w:t>21 September 2012</w:t>
            </w:r>
          </w:p>
        </w:tc>
      </w:tr>
      <w:tr w:rsidR="000A5CFA" w:rsidRPr="00490DCE" w14:paraId="0E2678D3"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462" w:type="pct"/>
          </w:tcPr>
          <w:p w14:paraId="7FF9C85D" w14:textId="77777777" w:rsidR="000A5CFA" w:rsidRPr="00490DCE" w:rsidRDefault="000A5CFA">
            <w:pPr>
              <w:pStyle w:val="body"/>
              <w:rPr>
                <w:rFonts w:ascii="Arial" w:hAnsi="Arial" w:cs="Arial"/>
                <w:color w:val="auto"/>
              </w:rPr>
            </w:pPr>
            <w:r w:rsidRPr="00490DCE">
              <w:rPr>
                <w:rFonts w:ascii="Arial" w:hAnsi="Arial" w:cs="Arial"/>
                <w:color w:val="auto"/>
              </w:rPr>
              <w:t>Phase out of the solar credits mechanism</w:t>
            </w:r>
          </w:p>
        </w:tc>
        <w:tc>
          <w:tcPr>
            <w:tcW w:w="1269" w:type="pct"/>
          </w:tcPr>
          <w:p w14:paraId="2C88894E"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DIICCSRTE</w:t>
            </w:r>
          </w:p>
        </w:tc>
        <w:tc>
          <w:tcPr>
            <w:cnfStyle w:val="000010000000" w:firstRow="0" w:lastRow="0" w:firstColumn="0" w:lastColumn="0" w:oddVBand="1" w:evenVBand="0" w:oddHBand="0" w:evenHBand="0" w:firstRowFirstColumn="0" w:firstRowLastColumn="0" w:lastRowFirstColumn="0" w:lastRowLastColumn="0"/>
            <w:tcW w:w="1269" w:type="pct"/>
          </w:tcPr>
          <w:p w14:paraId="0D083002" w14:textId="77777777" w:rsidR="000A5CFA" w:rsidRPr="00490DCE" w:rsidRDefault="000A5CFA">
            <w:pPr>
              <w:pStyle w:val="body"/>
              <w:rPr>
                <w:rFonts w:ascii="Arial" w:hAnsi="Arial" w:cs="Arial"/>
                <w:color w:val="auto"/>
              </w:rPr>
            </w:pPr>
            <w:r w:rsidRPr="00490DCE">
              <w:rPr>
                <w:rFonts w:ascii="Arial" w:hAnsi="Arial" w:cs="Arial"/>
                <w:color w:val="auto"/>
              </w:rPr>
              <w:t>16 November 2012</w:t>
            </w:r>
          </w:p>
        </w:tc>
      </w:tr>
      <w:tr w:rsidR="000A5CFA" w:rsidRPr="00490DCE" w14:paraId="2EA01363"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462" w:type="pct"/>
          </w:tcPr>
          <w:p w14:paraId="74F5DDB0" w14:textId="77777777" w:rsidR="000A5CFA" w:rsidRPr="00490DCE" w:rsidRDefault="000A5CFA">
            <w:pPr>
              <w:pStyle w:val="body"/>
              <w:rPr>
                <w:rFonts w:ascii="Arial" w:hAnsi="Arial" w:cs="Arial"/>
                <w:color w:val="auto"/>
              </w:rPr>
            </w:pPr>
            <w:r w:rsidRPr="00490DCE">
              <w:rPr>
                <w:rFonts w:ascii="Arial" w:hAnsi="Arial" w:cs="Arial"/>
                <w:color w:val="auto"/>
              </w:rPr>
              <w:t>Convergence Review</w:t>
            </w:r>
          </w:p>
        </w:tc>
        <w:tc>
          <w:tcPr>
            <w:tcW w:w="1269" w:type="pct"/>
          </w:tcPr>
          <w:p w14:paraId="17469B22"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DBCDE</w:t>
            </w:r>
          </w:p>
        </w:tc>
        <w:tc>
          <w:tcPr>
            <w:cnfStyle w:val="000010000000" w:firstRow="0" w:lastRow="0" w:firstColumn="0" w:lastColumn="0" w:oddVBand="1" w:evenVBand="0" w:oddHBand="0" w:evenHBand="0" w:firstRowFirstColumn="0" w:firstRowLastColumn="0" w:lastRowFirstColumn="0" w:lastRowLastColumn="0"/>
            <w:tcW w:w="1269" w:type="pct"/>
          </w:tcPr>
          <w:p w14:paraId="0ABA13F0" w14:textId="77777777" w:rsidR="000A5CFA" w:rsidRPr="00490DCE" w:rsidRDefault="000A5CFA">
            <w:pPr>
              <w:pStyle w:val="body"/>
              <w:rPr>
                <w:rFonts w:ascii="Arial" w:hAnsi="Arial" w:cs="Arial"/>
                <w:color w:val="auto"/>
              </w:rPr>
            </w:pPr>
            <w:r w:rsidRPr="00490DCE">
              <w:rPr>
                <w:rFonts w:ascii="Arial" w:hAnsi="Arial" w:cs="Arial"/>
                <w:color w:val="auto"/>
              </w:rPr>
              <w:t>30 November 2012</w:t>
            </w:r>
          </w:p>
          <w:p w14:paraId="1F9B9496" w14:textId="77777777" w:rsidR="000A5CFA" w:rsidRPr="00490DCE" w:rsidRDefault="000A5CFA">
            <w:pPr>
              <w:pStyle w:val="body"/>
              <w:rPr>
                <w:rFonts w:ascii="Arial" w:hAnsi="Arial" w:cs="Arial"/>
                <w:color w:val="auto"/>
              </w:rPr>
            </w:pPr>
            <w:r w:rsidRPr="00490DCE">
              <w:rPr>
                <w:rFonts w:ascii="Arial" w:hAnsi="Arial" w:cs="Arial"/>
                <w:color w:val="auto"/>
              </w:rPr>
              <w:t>12 March 2013</w:t>
            </w:r>
          </w:p>
        </w:tc>
      </w:tr>
      <w:tr w:rsidR="000A5CFA" w:rsidRPr="00490DCE" w14:paraId="127AD8BE"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462" w:type="pct"/>
          </w:tcPr>
          <w:p w14:paraId="4E148F16" w14:textId="77777777" w:rsidR="000A5CFA" w:rsidRPr="00490DCE" w:rsidRDefault="000A5CFA">
            <w:pPr>
              <w:pStyle w:val="body"/>
              <w:rPr>
                <w:rFonts w:ascii="Arial" w:hAnsi="Arial" w:cs="Arial"/>
                <w:color w:val="auto"/>
              </w:rPr>
            </w:pPr>
            <w:r w:rsidRPr="00490DCE">
              <w:rPr>
                <w:rFonts w:ascii="Arial" w:hAnsi="Arial" w:cs="Arial"/>
                <w:color w:val="auto"/>
              </w:rPr>
              <w:t xml:space="preserve">Amendments to the </w:t>
            </w:r>
            <w:r w:rsidRPr="00947FCF">
              <w:rPr>
                <w:rFonts w:ascii="Arial" w:hAnsi="Arial" w:cs="Arial"/>
                <w:i/>
                <w:color w:val="auto"/>
              </w:rPr>
              <w:t>Fair Work Act 2009</w:t>
            </w:r>
            <w:r w:rsidRPr="00490DCE">
              <w:rPr>
                <w:rStyle w:val="super"/>
                <w:rFonts w:cs="Arial"/>
                <w:color w:val="auto"/>
              </w:rPr>
              <w:t>a</w:t>
            </w:r>
          </w:p>
        </w:tc>
        <w:tc>
          <w:tcPr>
            <w:tcW w:w="1269" w:type="pct"/>
          </w:tcPr>
          <w:p w14:paraId="05C21BD5"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DEEWR</w:t>
            </w:r>
          </w:p>
        </w:tc>
        <w:tc>
          <w:tcPr>
            <w:cnfStyle w:val="000010000000" w:firstRow="0" w:lastRow="0" w:firstColumn="0" w:lastColumn="0" w:oddVBand="1" w:evenVBand="0" w:oddHBand="0" w:evenHBand="0" w:firstRowFirstColumn="0" w:firstRowLastColumn="0" w:lastRowFirstColumn="0" w:lastRowLastColumn="0"/>
            <w:tcW w:w="1269" w:type="pct"/>
          </w:tcPr>
          <w:p w14:paraId="02B26FE2" w14:textId="77777777" w:rsidR="000A5CFA" w:rsidRPr="00490DCE" w:rsidRDefault="000A5CFA">
            <w:pPr>
              <w:pStyle w:val="body"/>
              <w:rPr>
                <w:rFonts w:ascii="Arial" w:hAnsi="Arial" w:cs="Arial"/>
                <w:color w:val="auto"/>
              </w:rPr>
            </w:pPr>
            <w:r w:rsidRPr="00490DCE">
              <w:rPr>
                <w:rFonts w:ascii="Arial" w:hAnsi="Arial" w:cs="Arial"/>
                <w:color w:val="auto"/>
              </w:rPr>
              <w:t>11, 12, 13, 14 February 2013</w:t>
            </w:r>
          </w:p>
        </w:tc>
      </w:tr>
      <w:tr w:rsidR="000A5CFA" w:rsidRPr="00490DCE" w14:paraId="0C4C87BD"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462" w:type="pct"/>
          </w:tcPr>
          <w:p w14:paraId="0DD9A7E0" w14:textId="77777777" w:rsidR="000A5CFA" w:rsidRPr="00490DCE" w:rsidRDefault="000A5CFA">
            <w:pPr>
              <w:pStyle w:val="body"/>
              <w:rPr>
                <w:rFonts w:ascii="Arial" w:hAnsi="Arial" w:cs="Arial"/>
                <w:color w:val="auto"/>
              </w:rPr>
            </w:pPr>
            <w:r w:rsidRPr="00490DCE">
              <w:rPr>
                <w:rFonts w:ascii="Arial" w:hAnsi="Arial" w:cs="Arial"/>
                <w:color w:val="auto"/>
              </w:rPr>
              <w:t xml:space="preserve">Amendments to the </w:t>
            </w:r>
            <w:r w:rsidRPr="00947FCF">
              <w:rPr>
                <w:rFonts w:ascii="Arial" w:hAnsi="Arial" w:cs="Arial"/>
                <w:i/>
                <w:color w:val="auto"/>
              </w:rPr>
              <w:t>Fair Work Act 2009</w:t>
            </w:r>
            <w:r w:rsidRPr="00490DCE">
              <w:rPr>
                <w:rStyle w:val="super"/>
                <w:rFonts w:cs="Arial"/>
                <w:color w:val="auto"/>
              </w:rPr>
              <w:t>b</w:t>
            </w:r>
          </w:p>
        </w:tc>
        <w:tc>
          <w:tcPr>
            <w:tcW w:w="1269" w:type="pct"/>
          </w:tcPr>
          <w:p w14:paraId="720A055A"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DEEWR</w:t>
            </w:r>
          </w:p>
        </w:tc>
        <w:tc>
          <w:tcPr>
            <w:cnfStyle w:val="000010000000" w:firstRow="0" w:lastRow="0" w:firstColumn="0" w:lastColumn="0" w:oddVBand="1" w:evenVBand="0" w:oddHBand="0" w:evenHBand="0" w:firstRowFirstColumn="0" w:firstRowLastColumn="0" w:lastRowFirstColumn="0" w:lastRowLastColumn="0"/>
            <w:tcW w:w="1269" w:type="pct"/>
          </w:tcPr>
          <w:p w14:paraId="057C4AC1" w14:textId="77777777" w:rsidR="000A5CFA" w:rsidRPr="00490DCE" w:rsidRDefault="000A5CFA">
            <w:pPr>
              <w:pStyle w:val="body"/>
              <w:rPr>
                <w:rFonts w:ascii="Arial" w:hAnsi="Arial" w:cs="Arial"/>
                <w:color w:val="auto"/>
              </w:rPr>
            </w:pPr>
            <w:r w:rsidRPr="00490DCE">
              <w:rPr>
                <w:rFonts w:ascii="Arial" w:hAnsi="Arial" w:cs="Arial"/>
                <w:color w:val="auto"/>
              </w:rPr>
              <w:t>8, 14 March 2013</w:t>
            </w:r>
          </w:p>
        </w:tc>
      </w:tr>
      <w:tr w:rsidR="000A5CFA" w:rsidRPr="00490DCE" w14:paraId="38D5B82E"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462" w:type="pct"/>
          </w:tcPr>
          <w:p w14:paraId="6F0004EC" w14:textId="77777777" w:rsidR="000A5CFA" w:rsidRPr="00490DCE" w:rsidRDefault="000A5CFA">
            <w:pPr>
              <w:pStyle w:val="body"/>
              <w:rPr>
                <w:rFonts w:ascii="Arial" w:hAnsi="Arial" w:cs="Arial"/>
                <w:color w:val="auto"/>
              </w:rPr>
            </w:pPr>
            <w:r w:rsidRPr="00490DCE">
              <w:rPr>
                <w:rFonts w:ascii="Arial" w:hAnsi="Arial" w:cs="Arial"/>
                <w:color w:val="auto"/>
              </w:rPr>
              <w:t>Greater Protection for Water Resources</w:t>
            </w:r>
          </w:p>
        </w:tc>
        <w:tc>
          <w:tcPr>
            <w:tcW w:w="1269" w:type="pct"/>
          </w:tcPr>
          <w:p w14:paraId="6EC9B277"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DSEWPAC</w:t>
            </w:r>
          </w:p>
        </w:tc>
        <w:tc>
          <w:tcPr>
            <w:cnfStyle w:val="000010000000" w:firstRow="0" w:lastRow="0" w:firstColumn="0" w:lastColumn="0" w:oddVBand="1" w:evenVBand="0" w:oddHBand="0" w:evenHBand="0" w:firstRowFirstColumn="0" w:firstRowLastColumn="0" w:lastRowFirstColumn="0" w:lastRowLastColumn="0"/>
            <w:tcW w:w="1269" w:type="pct"/>
          </w:tcPr>
          <w:p w14:paraId="4AD06C40" w14:textId="77777777" w:rsidR="000A5CFA" w:rsidRPr="00490DCE" w:rsidRDefault="000A5CFA">
            <w:pPr>
              <w:pStyle w:val="body"/>
              <w:rPr>
                <w:rFonts w:ascii="Arial" w:hAnsi="Arial" w:cs="Arial"/>
                <w:color w:val="auto"/>
              </w:rPr>
            </w:pPr>
            <w:r w:rsidRPr="00490DCE">
              <w:rPr>
                <w:rFonts w:ascii="Arial" w:hAnsi="Arial" w:cs="Arial"/>
                <w:color w:val="auto"/>
              </w:rPr>
              <w:t>12 March 2013</w:t>
            </w:r>
          </w:p>
        </w:tc>
      </w:tr>
      <w:tr w:rsidR="000A5CFA" w:rsidRPr="00490DCE" w14:paraId="2ACA41F5"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462" w:type="pct"/>
          </w:tcPr>
          <w:p w14:paraId="7A0789E2" w14:textId="77777777" w:rsidR="000A5CFA" w:rsidRPr="00490DCE" w:rsidRDefault="000A5CFA">
            <w:pPr>
              <w:pStyle w:val="body"/>
              <w:rPr>
                <w:rFonts w:ascii="Arial" w:hAnsi="Arial" w:cs="Arial"/>
                <w:color w:val="auto"/>
              </w:rPr>
            </w:pPr>
            <w:r w:rsidRPr="00490DCE">
              <w:rPr>
                <w:rFonts w:ascii="Arial" w:hAnsi="Arial" w:cs="Arial"/>
                <w:color w:val="auto"/>
              </w:rPr>
              <w:t>Labour Market Testing for 457 Visa Sponsors</w:t>
            </w:r>
          </w:p>
        </w:tc>
        <w:tc>
          <w:tcPr>
            <w:tcW w:w="1269" w:type="pct"/>
          </w:tcPr>
          <w:p w14:paraId="0E41A6C1"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DIAC</w:t>
            </w:r>
          </w:p>
        </w:tc>
        <w:tc>
          <w:tcPr>
            <w:cnfStyle w:val="000010000000" w:firstRow="0" w:lastRow="0" w:firstColumn="0" w:lastColumn="0" w:oddVBand="1" w:evenVBand="0" w:oddHBand="0" w:evenHBand="0" w:firstRowFirstColumn="0" w:firstRowLastColumn="0" w:lastRowFirstColumn="0" w:lastRowLastColumn="0"/>
            <w:tcW w:w="1269" w:type="pct"/>
          </w:tcPr>
          <w:p w14:paraId="07A6F323" w14:textId="77777777" w:rsidR="000A5CFA" w:rsidRPr="00490DCE" w:rsidRDefault="000A5CFA">
            <w:pPr>
              <w:pStyle w:val="body"/>
              <w:rPr>
                <w:rFonts w:ascii="Arial" w:hAnsi="Arial" w:cs="Arial"/>
                <w:color w:val="auto"/>
              </w:rPr>
            </w:pPr>
            <w:r w:rsidRPr="00490DCE">
              <w:rPr>
                <w:rFonts w:ascii="Arial" w:hAnsi="Arial" w:cs="Arial"/>
                <w:color w:val="auto"/>
              </w:rPr>
              <w:t>6 June 2013</w:t>
            </w:r>
          </w:p>
        </w:tc>
      </w:tr>
    </w:tbl>
    <w:p w14:paraId="2C512F58" w14:textId="77777777" w:rsidR="000A5CFA" w:rsidRPr="00490DCE" w:rsidRDefault="000A5CFA">
      <w:pPr>
        <w:pStyle w:val="body"/>
        <w:rPr>
          <w:rFonts w:ascii="Arial" w:hAnsi="Arial" w:cs="Arial"/>
          <w:color w:val="auto"/>
          <w:sz w:val="16"/>
          <w:szCs w:val="16"/>
          <w:lang w:val="en-AU"/>
        </w:rPr>
      </w:pPr>
    </w:p>
    <w:p w14:paraId="4192068E" w14:textId="77777777" w:rsidR="000A5CFA" w:rsidRPr="00490DCE" w:rsidRDefault="000A5CFA">
      <w:pPr>
        <w:pStyle w:val="note"/>
        <w:spacing w:after="0"/>
        <w:rPr>
          <w:rStyle w:val="italic"/>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This exemption refers to: </w:t>
      </w:r>
      <w:r w:rsidRPr="00D1202E">
        <w:rPr>
          <w:rStyle w:val="italic"/>
          <w:rFonts w:cs="Arial"/>
          <w:i/>
          <w:color w:val="auto"/>
        </w:rPr>
        <w:t>Assist families with flexible working arrangements and workers subjected to workplace bullying</w:t>
      </w:r>
      <w:r w:rsidRPr="00490DCE">
        <w:rPr>
          <w:rStyle w:val="italic"/>
          <w:rFonts w:cs="Arial"/>
          <w:color w:val="auto"/>
        </w:rPr>
        <w:t>.</w:t>
      </w:r>
    </w:p>
    <w:p w14:paraId="1A124949" w14:textId="77777777" w:rsidR="000A5CFA" w:rsidRPr="00490DCE" w:rsidRDefault="000A5CFA">
      <w:pPr>
        <w:pStyle w:val="note"/>
        <w:rPr>
          <w:rFonts w:cs="Arial"/>
          <w:color w:val="auto"/>
        </w:rPr>
      </w:pPr>
      <w:proofErr w:type="gramStart"/>
      <w:r w:rsidRPr="00490DCE">
        <w:rPr>
          <w:rStyle w:val="super"/>
          <w:rFonts w:cs="Arial"/>
          <w:color w:val="auto"/>
        </w:rPr>
        <w:t>b</w:t>
      </w:r>
      <w:proofErr w:type="gramEnd"/>
      <w:r w:rsidRPr="00490DCE">
        <w:rPr>
          <w:rStyle w:val="italic"/>
          <w:rFonts w:cs="Arial"/>
          <w:color w:val="auto"/>
        </w:rPr>
        <w:t xml:space="preserve"> </w:t>
      </w:r>
      <w:r w:rsidRPr="00490DCE">
        <w:rPr>
          <w:rFonts w:cs="Arial"/>
          <w:color w:val="auto"/>
        </w:rPr>
        <w:t xml:space="preserve">This exemption refers to: </w:t>
      </w:r>
      <w:r w:rsidRPr="00D1202E">
        <w:rPr>
          <w:rStyle w:val="italic"/>
          <w:rFonts w:cs="Arial"/>
          <w:i/>
          <w:color w:val="auto"/>
        </w:rPr>
        <w:t xml:space="preserve">Amendments to bargaining for </w:t>
      </w:r>
      <w:proofErr w:type="spellStart"/>
      <w:r w:rsidRPr="00D1202E">
        <w:rPr>
          <w:rStyle w:val="italic"/>
          <w:rFonts w:cs="Arial"/>
          <w:i/>
          <w:color w:val="auto"/>
        </w:rPr>
        <w:t>greenfields</w:t>
      </w:r>
      <w:proofErr w:type="spellEnd"/>
      <w:r w:rsidRPr="00D1202E">
        <w:rPr>
          <w:rStyle w:val="italic"/>
          <w:rFonts w:cs="Arial"/>
          <w:i/>
          <w:color w:val="auto"/>
        </w:rPr>
        <w:t xml:space="preserve"> agreements and the right of entry provisions, as well as amendments to the modern awards objective</w:t>
      </w:r>
      <w:r w:rsidRPr="00490DCE">
        <w:rPr>
          <w:rStyle w:val="italic"/>
          <w:rFonts w:cs="Arial"/>
          <w:color w:val="auto"/>
        </w:rPr>
        <w:t>.</w:t>
      </w:r>
    </w:p>
    <w:p w14:paraId="4A9224E0" w14:textId="77777777" w:rsidR="000A5CFA" w:rsidRPr="00490DCE" w:rsidRDefault="000A5CFA" w:rsidP="00E804F7">
      <w:pPr>
        <w:pStyle w:val="Heading4"/>
        <w:rPr>
          <w:rFonts w:cs="Arial"/>
        </w:rPr>
      </w:pPr>
      <w:r w:rsidRPr="00490DCE">
        <w:rPr>
          <w:rFonts w:cs="Arial"/>
        </w:rPr>
        <w:t>Non-compliance</w:t>
      </w:r>
    </w:p>
    <w:p w14:paraId="639D776B" w14:textId="77777777" w:rsidR="000A5CFA" w:rsidRPr="00490DCE" w:rsidRDefault="000A5CFA" w:rsidP="000A5CFA">
      <w:pPr>
        <w:rPr>
          <w:rFonts w:cs="Arial"/>
        </w:rPr>
      </w:pPr>
      <w:r w:rsidRPr="00490DCE">
        <w:rPr>
          <w:rFonts w:cs="Arial"/>
        </w:rPr>
        <w:t>In the absence of ‘exceptional circumstances’ being granted by the Prime Minister, a regulatory proposal with more than a minor or machinery impact on business or the not-for-profit sector should not proceed to Cabinet (or another decision-maker) unless it has complied with the RIS requirements. A PIR is required when a proposal proceeds to the decision-maker without an adequate RIS.</w:t>
      </w:r>
    </w:p>
    <w:p w14:paraId="2AFB401B" w14:textId="77777777" w:rsidR="000A5CFA" w:rsidRPr="00490DCE" w:rsidRDefault="000A5CFA" w:rsidP="000A5CFA">
      <w:pPr>
        <w:rPr>
          <w:rFonts w:cs="Arial"/>
        </w:rPr>
      </w:pPr>
      <w:r w:rsidRPr="00490DCE">
        <w:rPr>
          <w:rFonts w:cs="Arial"/>
        </w:rPr>
        <w:t xml:space="preserve">In 2012–13, two proposals proceeded to the decision-maker without the support of an adequate </w:t>
      </w:r>
      <w:r w:rsidRPr="00490DCE">
        <w:rPr>
          <w:rFonts w:cs="Arial"/>
        </w:rPr>
        <w:br/>
        <w:t xml:space="preserve">RIS (Table 2.3). Also included in Table 2.3 are two proposals which were compliant at the </w:t>
      </w:r>
      <w:r w:rsidRPr="00490DCE">
        <w:rPr>
          <w:rFonts w:cs="Arial"/>
        </w:rPr>
        <w:br/>
        <w:t>decision-making stage but non-compliant at the transparency stage. Further details of RIS compliance by portfolio can be found at Chapter 3.</w:t>
      </w:r>
    </w:p>
    <w:p w14:paraId="03D7056F" w14:textId="77777777" w:rsidR="000A5CFA" w:rsidRPr="00490DCE" w:rsidRDefault="000A5CFA">
      <w:pPr>
        <w:pStyle w:val="tabletitle"/>
        <w:rPr>
          <w:rFonts w:cs="Arial"/>
        </w:rPr>
      </w:pPr>
      <w:r w:rsidRPr="00490DCE">
        <w:rPr>
          <w:rFonts w:cs="Arial"/>
        </w:rPr>
        <w:br w:type="page"/>
      </w:r>
      <w:r w:rsidRPr="00490DCE">
        <w:rPr>
          <w:rFonts w:cs="Arial"/>
        </w:rPr>
        <w:lastRenderedPageBreak/>
        <w:t>Table 2.3: Australian Government non-compliant proposals 2012–13</w:t>
      </w:r>
    </w:p>
    <w:tbl>
      <w:tblPr>
        <w:tblStyle w:val="LightList"/>
        <w:tblW w:w="5000" w:type="pct"/>
        <w:tblLook w:val="0020" w:firstRow="1" w:lastRow="0" w:firstColumn="0" w:lastColumn="0" w:noHBand="0" w:noVBand="0"/>
        <w:tblDescription w:val="List of non-compliant proposals 2012-13"/>
      </w:tblPr>
      <w:tblGrid>
        <w:gridCol w:w="4674"/>
        <w:gridCol w:w="2795"/>
        <w:gridCol w:w="2379"/>
      </w:tblGrid>
      <w:tr w:rsidR="000A5CFA" w:rsidRPr="00490DCE" w14:paraId="48B8F46C" w14:textId="77777777" w:rsidTr="007425EA">
        <w:trPr>
          <w:cnfStyle w:val="100000000000" w:firstRow="1" w:lastRow="0" w:firstColumn="0" w:lastColumn="0" w:oddVBand="0" w:evenVBand="0" w:oddHBand="0" w:evenHBand="0" w:firstRowFirstColumn="0" w:firstRowLastColumn="0" w:lastRowFirstColumn="0" w:lastRowLastColumn="0"/>
          <w:trHeight w:val="320"/>
          <w:tblHeader/>
        </w:trPr>
        <w:tc>
          <w:tcPr>
            <w:cnfStyle w:val="000010000000" w:firstRow="0" w:lastRow="0" w:firstColumn="0" w:lastColumn="0" w:oddVBand="1" w:evenVBand="0" w:oddHBand="0" w:evenHBand="0" w:firstRowFirstColumn="0" w:firstRowLastColumn="0" w:lastRowFirstColumn="0" w:lastRowLastColumn="0"/>
            <w:tcW w:w="2373" w:type="pct"/>
          </w:tcPr>
          <w:p w14:paraId="6AF81A96" w14:textId="77777777" w:rsidR="000A5CFA" w:rsidRPr="00490DCE" w:rsidRDefault="000A5CFA" w:rsidP="0019227F">
            <w:pPr>
              <w:pStyle w:val="tablehead"/>
              <w:outlineLvl w:val="3"/>
              <w:rPr>
                <w:rFonts w:ascii="Arial" w:hAnsi="Arial" w:cs="Arial"/>
                <w:color w:val="auto"/>
              </w:rPr>
            </w:pPr>
            <w:r w:rsidRPr="00490DCE">
              <w:rPr>
                <w:rFonts w:ascii="Arial" w:hAnsi="Arial" w:cs="Arial"/>
                <w:color w:val="auto"/>
              </w:rPr>
              <w:t>Proposal</w:t>
            </w:r>
          </w:p>
        </w:tc>
        <w:tc>
          <w:tcPr>
            <w:tcW w:w="1419" w:type="pct"/>
          </w:tcPr>
          <w:p w14:paraId="4B20CD39" w14:textId="77777777" w:rsidR="000A5CFA" w:rsidRPr="00490DC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Department</w:t>
            </w:r>
          </w:p>
        </w:tc>
        <w:tc>
          <w:tcPr>
            <w:cnfStyle w:val="000010000000" w:firstRow="0" w:lastRow="0" w:firstColumn="0" w:lastColumn="0" w:oddVBand="1" w:evenVBand="0" w:oddHBand="0" w:evenHBand="0" w:firstRowFirstColumn="0" w:firstRowLastColumn="0" w:lastRowFirstColumn="0" w:lastRowLastColumn="0"/>
            <w:tcW w:w="1208" w:type="pct"/>
          </w:tcPr>
          <w:p w14:paraId="446DF0BA" w14:textId="77777777" w:rsidR="000A5CFA" w:rsidRPr="00490DCE" w:rsidRDefault="000A5CFA" w:rsidP="0019227F">
            <w:pPr>
              <w:pStyle w:val="tablehead"/>
              <w:outlineLvl w:val="3"/>
              <w:rPr>
                <w:rFonts w:ascii="Arial" w:hAnsi="Arial" w:cs="Arial"/>
                <w:color w:val="auto"/>
              </w:rPr>
            </w:pPr>
            <w:r w:rsidRPr="00490DCE">
              <w:rPr>
                <w:rFonts w:ascii="Arial" w:hAnsi="Arial" w:cs="Arial"/>
                <w:color w:val="auto"/>
              </w:rPr>
              <w:t>Announced</w:t>
            </w:r>
          </w:p>
        </w:tc>
      </w:tr>
      <w:tr w:rsidR="000A5CFA" w:rsidRPr="00490DCE" w14:paraId="6D2FC7BC"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73" w:type="pct"/>
          </w:tcPr>
          <w:p w14:paraId="7A85BFCD" w14:textId="77777777" w:rsidR="000A5CFA" w:rsidRPr="00490DCE" w:rsidRDefault="000A5CFA" w:rsidP="002C252F">
            <w:pPr>
              <w:pStyle w:val="body"/>
              <w:rPr>
                <w:rFonts w:ascii="Arial" w:hAnsi="Arial" w:cs="Arial"/>
                <w:color w:val="auto"/>
              </w:rPr>
            </w:pPr>
            <w:r w:rsidRPr="00490DCE">
              <w:rPr>
                <w:rFonts w:ascii="Arial" w:hAnsi="Arial" w:cs="Arial"/>
                <w:color w:val="auto"/>
              </w:rPr>
              <w:t>First Tranche Response to Fair Work Act Review</w:t>
            </w:r>
            <w:r w:rsidRPr="00490DCE">
              <w:rPr>
                <w:rStyle w:val="super"/>
                <w:rFonts w:cs="Arial"/>
                <w:color w:val="auto"/>
              </w:rPr>
              <w:t>a</w:t>
            </w:r>
          </w:p>
        </w:tc>
        <w:tc>
          <w:tcPr>
            <w:tcW w:w="1419" w:type="pct"/>
          </w:tcPr>
          <w:p w14:paraId="781C233D"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DEEWR</w:t>
            </w:r>
          </w:p>
        </w:tc>
        <w:tc>
          <w:tcPr>
            <w:cnfStyle w:val="000010000000" w:firstRow="0" w:lastRow="0" w:firstColumn="0" w:lastColumn="0" w:oddVBand="1" w:evenVBand="0" w:oddHBand="0" w:evenHBand="0" w:firstRowFirstColumn="0" w:firstRowLastColumn="0" w:lastRowFirstColumn="0" w:lastRowLastColumn="0"/>
            <w:tcW w:w="1208" w:type="pct"/>
          </w:tcPr>
          <w:p w14:paraId="6A80E075" w14:textId="77777777" w:rsidR="000A5CFA" w:rsidRPr="00490DCE" w:rsidRDefault="000A5CFA">
            <w:pPr>
              <w:pStyle w:val="body"/>
              <w:rPr>
                <w:rFonts w:ascii="Arial" w:hAnsi="Arial" w:cs="Arial"/>
                <w:color w:val="auto"/>
              </w:rPr>
            </w:pPr>
            <w:r w:rsidRPr="00490DCE">
              <w:rPr>
                <w:rFonts w:ascii="Arial" w:hAnsi="Arial" w:cs="Arial"/>
                <w:color w:val="auto"/>
              </w:rPr>
              <w:t>15 October 2012</w:t>
            </w:r>
          </w:p>
        </w:tc>
      </w:tr>
      <w:tr w:rsidR="000A5CFA" w:rsidRPr="00490DCE" w14:paraId="6C4CC6E3"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373" w:type="pct"/>
          </w:tcPr>
          <w:p w14:paraId="5D0E7254" w14:textId="77777777" w:rsidR="000A5CFA" w:rsidRPr="00490DCE" w:rsidRDefault="000A5CFA" w:rsidP="002C252F">
            <w:pPr>
              <w:pStyle w:val="body"/>
              <w:rPr>
                <w:rFonts w:ascii="Arial" w:hAnsi="Arial" w:cs="Arial"/>
                <w:color w:val="auto"/>
              </w:rPr>
            </w:pPr>
            <w:r w:rsidRPr="00490DCE">
              <w:rPr>
                <w:rFonts w:ascii="Arial" w:hAnsi="Arial" w:cs="Arial"/>
                <w:color w:val="auto"/>
              </w:rPr>
              <w:t>Default Superannuation Funds in Modern Awards</w:t>
            </w:r>
            <w:r w:rsidRPr="00490DCE">
              <w:rPr>
                <w:rStyle w:val="super"/>
                <w:rFonts w:cs="Arial"/>
                <w:color w:val="auto"/>
              </w:rPr>
              <w:t>a</w:t>
            </w:r>
          </w:p>
        </w:tc>
        <w:tc>
          <w:tcPr>
            <w:tcW w:w="1419" w:type="pct"/>
          </w:tcPr>
          <w:p w14:paraId="0E44E440"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DEEWR</w:t>
            </w:r>
          </w:p>
        </w:tc>
        <w:tc>
          <w:tcPr>
            <w:cnfStyle w:val="000010000000" w:firstRow="0" w:lastRow="0" w:firstColumn="0" w:lastColumn="0" w:oddVBand="1" w:evenVBand="0" w:oddHBand="0" w:evenHBand="0" w:firstRowFirstColumn="0" w:firstRowLastColumn="0" w:lastRowFirstColumn="0" w:lastRowLastColumn="0"/>
            <w:tcW w:w="1208" w:type="pct"/>
          </w:tcPr>
          <w:p w14:paraId="03F515AA" w14:textId="77777777" w:rsidR="000A5CFA" w:rsidRPr="00490DCE" w:rsidRDefault="000A5CFA">
            <w:pPr>
              <w:pStyle w:val="body"/>
              <w:rPr>
                <w:rFonts w:ascii="Arial" w:hAnsi="Arial" w:cs="Arial"/>
                <w:color w:val="auto"/>
              </w:rPr>
            </w:pPr>
            <w:r w:rsidRPr="00490DCE">
              <w:rPr>
                <w:rFonts w:ascii="Arial" w:hAnsi="Arial" w:cs="Arial"/>
                <w:color w:val="auto"/>
              </w:rPr>
              <w:t>30 October 2012</w:t>
            </w:r>
          </w:p>
        </w:tc>
      </w:tr>
      <w:tr w:rsidR="000A5CFA" w:rsidRPr="00490DCE" w14:paraId="6DF05F85"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73" w:type="pct"/>
          </w:tcPr>
          <w:p w14:paraId="5876F224" w14:textId="77777777" w:rsidR="000A5CFA" w:rsidRPr="00490DCE" w:rsidRDefault="000A5CFA">
            <w:pPr>
              <w:pStyle w:val="body"/>
              <w:rPr>
                <w:rFonts w:ascii="Arial" w:hAnsi="Arial" w:cs="Arial"/>
                <w:color w:val="auto"/>
              </w:rPr>
            </w:pPr>
            <w:r w:rsidRPr="00490DCE">
              <w:rPr>
                <w:rFonts w:ascii="Arial" w:hAnsi="Arial" w:cs="Arial"/>
                <w:color w:val="auto"/>
              </w:rPr>
              <w:t>Reforms to the Temporary Work (Skilled)(Subclass 457) Visa Program</w:t>
            </w:r>
          </w:p>
        </w:tc>
        <w:tc>
          <w:tcPr>
            <w:tcW w:w="1419" w:type="pct"/>
          </w:tcPr>
          <w:p w14:paraId="66343CB2"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DIAC</w:t>
            </w:r>
          </w:p>
        </w:tc>
        <w:tc>
          <w:tcPr>
            <w:cnfStyle w:val="000010000000" w:firstRow="0" w:lastRow="0" w:firstColumn="0" w:lastColumn="0" w:oddVBand="1" w:evenVBand="0" w:oddHBand="0" w:evenHBand="0" w:firstRowFirstColumn="0" w:firstRowLastColumn="0" w:lastRowFirstColumn="0" w:lastRowLastColumn="0"/>
            <w:tcW w:w="1208" w:type="pct"/>
          </w:tcPr>
          <w:p w14:paraId="7D096EE6" w14:textId="77777777" w:rsidR="000A5CFA" w:rsidRPr="00490DCE" w:rsidRDefault="000A5CFA">
            <w:pPr>
              <w:pStyle w:val="body"/>
              <w:rPr>
                <w:rFonts w:ascii="Arial" w:hAnsi="Arial" w:cs="Arial"/>
                <w:color w:val="auto"/>
              </w:rPr>
            </w:pPr>
            <w:r w:rsidRPr="00490DCE">
              <w:rPr>
                <w:rFonts w:ascii="Arial" w:hAnsi="Arial" w:cs="Arial"/>
                <w:color w:val="auto"/>
              </w:rPr>
              <w:t>23 February 2013</w:t>
            </w:r>
          </w:p>
        </w:tc>
      </w:tr>
      <w:tr w:rsidR="000A5CFA" w:rsidRPr="00490DCE" w14:paraId="6D39DA10"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373" w:type="pct"/>
          </w:tcPr>
          <w:p w14:paraId="398D55CC" w14:textId="77777777" w:rsidR="000A5CFA" w:rsidRPr="00490DCE" w:rsidRDefault="000A5CFA">
            <w:pPr>
              <w:pStyle w:val="body"/>
              <w:rPr>
                <w:rFonts w:ascii="Arial" w:hAnsi="Arial" w:cs="Arial"/>
                <w:color w:val="auto"/>
              </w:rPr>
            </w:pPr>
            <w:r w:rsidRPr="00490DCE">
              <w:rPr>
                <w:rFonts w:ascii="Arial" w:hAnsi="Arial" w:cs="Arial"/>
                <w:color w:val="auto"/>
              </w:rPr>
              <w:t>Banning the importation of unauthorised psychoactive substances</w:t>
            </w:r>
          </w:p>
        </w:tc>
        <w:tc>
          <w:tcPr>
            <w:tcW w:w="1419" w:type="pct"/>
          </w:tcPr>
          <w:p w14:paraId="7E213CE9"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AGD</w:t>
            </w:r>
          </w:p>
        </w:tc>
        <w:tc>
          <w:tcPr>
            <w:cnfStyle w:val="000010000000" w:firstRow="0" w:lastRow="0" w:firstColumn="0" w:lastColumn="0" w:oddVBand="1" w:evenVBand="0" w:oddHBand="0" w:evenHBand="0" w:firstRowFirstColumn="0" w:firstRowLastColumn="0" w:lastRowFirstColumn="0" w:lastRowLastColumn="0"/>
            <w:tcW w:w="1208" w:type="pct"/>
          </w:tcPr>
          <w:p w14:paraId="5C2AB3A0" w14:textId="77777777" w:rsidR="000A5CFA" w:rsidRPr="00490DCE" w:rsidRDefault="000A5CFA">
            <w:pPr>
              <w:pStyle w:val="body"/>
              <w:rPr>
                <w:rFonts w:ascii="Arial" w:hAnsi="Arial" w:cs="Arial"/>
                <w:color w:val="auto"/>
              </w:rPr>
            </w:pPr>
            <w:r w:rsidRPr="00490DCE">
              <w:rPr>
                <w:rFonts w:ascii="Arial" w:hAnsi="Arial" w:cs="Arial"/>
                <w:color w:val="auto"/>
              </w:rPr>
              <w:t>16 June 2013</w:t>
            </w:r>
          </w:p>
        </w:tc>
      </w:tr>
    </w:tbl>
    <w:p w14:paraId="5F6F88F4" w14:textId="77777777" w:rsidR="000A5CFA" w:rsidRPr="00490DCE" w:rsidRDefault="000A5CFA">
      <w:pPr>
        <w:pStyle w:val="body"/>
        <w:rPr>
          <w:rFonts w:ascii="Arial" w:hAnsi="Arial" w:cs="Arial"/>
          <w:color w:val="auto"/>
          <w:sz w:val="16"/>
          <w:szCs w:val="16"/>
          <w:lang w:val="en-AU"/>
        </w:rPr>
      </w:pPr>
    </w:p>
    <w:p w14:paraId="54E5DD45" w14:textId="77777777" w:rsidR="000A5CFA" w:rsidRPr="00490DCE" w:rsidRDefault="000A5CFA">
      <w:pPr>
        <w:pStyle w:val="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This RIS was adequate at the decision-making stage and was published on the OBPR website but is not included in the explanatory memorandum that was tabled in Parliament. As such it is non-compliant at the transparency stage.</w:t>
      </w:r>
    </w:p>
    <w:p w14:paraId="116677BC" w14:textId="77777777" w:rsidR="000A5CFA" w:rsidRPr="00490DCE" w:rsidRDefault="000A5CFA" w:rsidP="00E804F7">
      <w:pPr>
        <w:pStyle w:val="Heading4"/>
        <w:rPr>
          <w:rFonts w:cs="Arial"/>
        </w:rPr>
      </w:pPr>
      <w:r w:rsidRPr="00490DCE">
        <w:rPr>
          <w:rFonts w:cs="Arial"/>
        </w:rPr>
        <w:t>Post-implementation reviews</w:t>
      </w:r>
    </w:p>
    <w:p w14:paraId="230C2EB5" w14:textId="77777777" w:rsidR="000A5CFA" w:rsidRPr="00490DCE" w:rsidRDefault="000A5CFA" w:rsidP="000A5CFA">
      <w:pPr>
        <w:rPr>
          <w:rFonts w:cs="Arial"/>
        </w:rPr>
      </w:pPr>
      <w:r w:rsidRPr="00490DCE">
        <w:rPr>
          <w:rFonts w:cs="Arial"/>
        </w:rPr>
        <w:t>Australian Government agencies are required to undertake a PIR of regulation that did not have a RIS, unless the impact was of a minor or machinery nature and the regulation did not substantially alter previous arrangements. The absence of a RIS may be because the RIS was not adequate or the Prime Minister granted an exemption because of exceptional circumstances. The PIR is required to commence within one to two years of the implementation of the regulation.</w:t>
      </w:r>
    </w:p>
    <w:p w14:paraId="25688D34" w14:textId="77777777" w:rsidR="000A5CFA" w:rsidRPr="00490DCE" w:rsidRDefault="000A5CFA" w:rsidP="000A5CFA">
      <w:pPr>
        <w:rPr>
          <w:rFonts w:cs="Arial"/>
        </w:rPr>
      </w:pPr>
      <w:r w:rsidRPr="00490DCE">
        <w:rPr>
          <w:rFonts w:cs="Arial"/>
        </w:rPr>
        <w:t xml:space="preserve">The number of PIRs required as a result of regulatory proposals announced in 2012–13 has continued a downward trend after peaking in 2010–11. In contrast, the number of Prime Minister’s exemptions has risen from the previous year to eight, but is still well below the peak in 2010–11. There were also two non-compliant regulatory decisions in 2012–13 for which </w:t>
      </w:r>
      <w:r w:rsidRPr="00490DCE">
        <w:rPr>
          <w:rFonts w:cs="Arial"/>
          <w:lang w:val="en-US"/>
        </w:rPr>
        <w:t>PIR</w:t>
      </w:r>
      <w:r w:rsidRPr="00490DCE">
        <w:rPr>
          <w:rFonts w:cs="Arial"/>
        </w:rPr>
        <w:t>s will be required, significantly lower than in the past several years. Table 2.4 shows PIR numbers by source for the period 2009–10 to 2012–13.</w:t>
      </w:r>
    </w:p>
    <w:p w14:paraId="36FDC741" w14:textId="77777777" w:rsidR="000A5CFA" w:rsidRPr="00490DCE" w:rsidRDefault="000A5CFA">
      <w:pPr>
        <w:pStyle w:val="tabletitle"/>
        <w:rPr>
          <w:rFonts w:cs="Arial"/>
        </w:rPr>
      </w:pPr>
      <w:r w:rsidRPr="00490DCE">
        <w:rPr>
          <w:rFonts w:cs="Arial"/>
        </w:rPr>
        <w:t>Table 2.4: Post-implementation review numbers 2009–10 to 2012–13</w:t>
      </w:r>
    </w:p>
    <w:tbl>
      <w:tblPr>
        <w:tblStyle w:val="LightList"/>
        <w:tblW w:w="5000" w:type="pct"/>
        <w:tblLook w:val="0020" w:firstRow="1" w:lastRow="0" w:firstColumn="0" w:lastColumn="0" w:noHBand="0" w:noVBand="0"/>
        <w:tblDescription w:val="Numbers of post implementation reviews 2009 to 2013"/>
      </w:tblPr>
      <w:tblGrid>
        <w:gridCol w:w="4106"/>
        <w:gridCol w:w="1436"/>
        <w:gridCol w:w="1436"/>
        <w:gridCol w:w="1436"/>
        <w:gridCol w:w="1434"/>
      </w:tblGrid>
      <w:tr w:rsidR="000A5CFA" w:rsidRPr="00490DCE" w14:paraId="489B712C"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2085" w:type="pct"/>
          </w:tcPr>
          <w:p w14:paraId="40D1C767"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Source</w:t>
            </w:r>
          </w:p>
        </w:tc>
        <w:tc>
          <w:tcPr>
            <w:tcW w:w="729" w:type="pct"/>
          </w:tcPr>
          <w:p w14:paraId="4ADB9C80"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2009–10</w:t>
            </w:r>
          </w:p>
        </w:tc>
        <w:tc>
          <w:tcPr>
            <w:cnfStyle w:val="000010000000" w:firstRow="0" w:lastRow="0" w:firstColumn="0" w:lastColumn="0" w:oddVBand="1" w:evenVBand="0" w:oddHBand="0" w:evenHBand="0" w:firstRowFirstColumn="0" w:firstRowLastColumn="0" w:lastRowFirstColumn="0" w:lastRowLastColumn="0"/>
            <w:tcW w:w="729" w:type="pct"/>
          </w:tcPr>
          <w:p w14:paraId="660FAB6C"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2010–11</w:t>
            </w:r>
          </w:p>
        </w:tc>
        <w:tc>
          <w:tcPr>
            <w:tcW w:w="729" w:type="pct"/>
          </w:tcPr>
          <w:p w14:paraId="02302EAC"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2011–12</w:t>
            </w:r>
          </w:p>
        </w:tc>
        <w:tc>
          <w:tcPr>
            <w:cnfStyle w:val="000010000000" w:firstRow="0" w:lastRow="0" w:firstColumn="0" w:lastColumn="0" w:oddVBand="1" w:evenVBand="0" w:oddHBand="0" w:evenHBand="0" w:firstRowFirstColumn="0" w:firstRowLastColumn="0" w:lastRowFirstColumn="0" w:lastRowLastColumn="0"/>
            <w:tcW w:w="729" w:type="pct"/>
          </w:tcPr>
          <w:p w14:paraId="0D7B2732"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2012–13</w:t>
            </w:r>
          </w:p>
        </w:tc>
      </w:tr>
      <w:tr w:rsidR="000A5CFA" w:rsidRPr="00490DCE" w14:paraId="5E503ADC" w14:textId="77777777" w:rsidTr="002C252F">
        <w:trPr>
          <w:cnfStyle w:val="000000100000" w:firstRow="0" w:lastRow="0" w:firstColumn="0" w:lastColumn="0" w:oddVBand="0" w:evenVBand="0" w:oddHBand="1" w:evenHBand="0" w:firstRowFirstColumn="0" w:firstRowLastColumn="0" w:lastRowFirstColumn="0" w:lastRowLastColumn="0"/>
          <w:trHeight w:val="525"/>
        </w:trPr>
        <w:tc>
          <w:tcPr>
            <w:cnfStyle w:val="000010000000" w:firstRow="0" w:lastRow="0" w:firstColumn="0" w:lastColumn="0" w:oddVBand="1" w:evenVBand="0" w:oddHBand="0" w:evenHBand="0" w:firstRowFirstColumn="0" w:firstRowLastColumn="0" w:lastRowFirstColumn="0" w:lastRowLastColumn="0"/>
            <w:tcW w:w="2085" w:type="pct"/>
          </w:tcPr>
          <w:p w14:paraId="0E5184D2" w14:textId="77777777" w:rsidR="000A5CFA" w:rsidRPr="00490DCE" w:rsidRDefault="000A5CFA">
            <w:pPr>
              <w:pStyle w:val="body"/>
              <w:rPr>
                <w:rFonts w:ascii="Arial" w:hAnsi="Arial" w:cs="Arial"/>
                <w:color w:val="auto"/>
              </w:rPr>
            </w:pPr>
            <w:r w:rsidRPr="00490DCE">
              <w:rPr>
                <w:rStyle w:val="bold"/>
                <w:rFonts w:ascii="Arial" w:hAnsi="Arial" w:cs="Arial"/>
                <w:color w:val="auto"/>
              </w:rPr>
              <w:t>Compliant – Prime Minister’s Exemption</w:t>
            </w:r>
          </w:p>
        </w:tc>
        <w:tc>
          <w:tcPr>
            <w:tcW w:w="729" w:type="pct"/>
          </w:tcPr>
          <w:p w14:paraId="68612BFA"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4</w:t>
            </w:r>
          </w:p>
        </w:tc>
        <w:tc>
          <w:tcPr>
            <w:cnfStyle w:val="000010000000" w:firstRow="0" w:lastRow="0" w:firstColumn="0" w:lastColumn="0" w:oddVBand="1" w:evenVBand="0" w:oddHBand="0" w:evenHBand="0" w:firstRowFirstColumn="0" w:firstRowLastColumn="0" w:lastRowFirstColumn="0" w:lastRowLastColumn="0"/>
            <w:tcW w:w="729" w:type="pct"/>
          </w:tcPr>
          <w:p w14:paraId="72E0FECB" w14:textId="77777777" w:rsidR="000A5CFA" w:rsidRPr="00490DCE" w:rsidRDefault="000A5CFA">
            <w:pPr>
              <w:pStyle w:val="body"/>
              <w:jc w:val="right"/>
              <w:rPr>
                <w:rFonts w:ascii="Arial" w:hAnsi="Arial" w:cs="Arial"/>
                <w:color w:val="auto"/>
              </w:rPr>
            </w:pPr>
            <w:r w:rsidRPr="00490DCE">
              <w:rPr>
                <w:rFonts w:ascii="Arial" w:hAnsi="Arial" w:cs="Arial"/>
                <w:color w:val="auto"/>
              </w:rPr>
              <w:t>14</w:t>
            </w:r>
          </w:p>
        </w:tc>
        <w:tc>
          <w:tcPr>
            <w:tcW w:w="729" w:type="pct"/>
          </w:tcPr>
          <w:p w14:paraId="3C9B9DF1"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5</w:t>
            </w:r>
          </w:p>
        </w:tc>
        <w:tc>
          <w:tcPr>
            <w:cnfStyle w:val="000010000000" w:firstRow="0" w:lastRow="0" w:firstColumn="0" w:lastColumn="0" w:oddVBand="1" w:evenVBand="0" w:oddHBand="0" w:evenHBand="0" w:firstRowFirstColumn="0" w:firstRowLastColumn="0" w:lastRowFirstColumn="0" w:lastRowLastColumn="0"/>
            <w:tcW w:w="729" w:type="pct"/>
          </w:tcPr>
          <w:p w14:paraId="39070B7B" w14:textId="77777777" w:rsidR="000A5CFA" w:rsidRPr="00490DCE" w:rsidRDefault="000A5CFA">
            <w:pPr>
              <w:pStyle w:val="body"/>
              <w:jc w:val="right"/>
              <w:rPr>
                <w:rFonts w:ascii="Arial" w:hAnsi="Arial" w:cs="Arial"/>
                <w:color w:val="auto"/>
              </w:rPr>
            </w:pPr>
            <w:r w:rsidRPr="00490DCE">
              <w:rPr>
                <w:rFonts w:ascii="Arial" w:hAnsi="Arial" w:cs="Arial"/>
                <w:color w:val="auto"/>
              </w:rPr>
              <w:t>8</w:t>
            </w:r>
          </w:p>
        </w:tc>
      </w:tr>
      <w:tr w:rsidR="000A5CFA" w:rsidRPr="00490DCE" w14:paraId="4BB7C9F8"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2085" w:type="pct"/>
          </w:tcPr>
          <w:p w14:paraId="46EEE735" w14:textId="77777777" w:rsidR="000A5CFA" w:rsidRPr="00490DCE" w:rsidRDefault="000A5CFA">
            <w:pPr>
              <w:pStyle w:val="body"/>
              <w:rPr>
                <w:rFonts w:ascii="Arial" w:hAnsi="Arial" w:cs="Arial"/>
                <w:color w:val="auto"/>
              </w:rPr>
            </w:pPr>
            <w:r w:rsidRPr="00490DCE">
              <w:rPr>
                <w:rStyle w:val="bold"/>
                <w:rFonts w:ascii="Arial" w:hAnsi="Arial" w:cs="Arial"/>
                <w:color w:val="auto"/>
              </w:rPr>
              <w:t>Non-Compliant</w:t>
            </w:r>
          </w:p>
        </w:tc>
        <w:tc>
          <w:tcPr>
            <w:tcW w:w="729" w:type="pct"/>
          </w:tcPr>
          <w:p w14:paraId="5628BB90"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12</w:t>
            </w:r>
          </w:p>
        </w:tc>
        <w:tc>
          <w:tcPr>
            <w:cnfStyle w:val="000010000000" w:firstRow="0" w:lastRow="0" w:firstColumn="0" w:lastColumn="0" w:oddVBand="1" w:evenVBand="0" w:oddHBand="0" w:evenHBand="0" w:firstRowFirstColumn="0" w:firstRowLastColumn="0" w:lastRowFirstColumn="0" w:lastRowLastColumn="0"/>
            <w:tcW w:w="729" w:type="pct"/>
          </w:tcPr>
          <w:p w14:paraId="73B05EF2" w14:textId="77777777" w:rsidR="000A5CFA" w:rsidRPr="00490DCE" w:rsidRDefault="000A5CFA">
            <w:pPr>
              <w:pStyle w:val="body"/>
              <w:jc w:val="right"/>
              <w:rPr>
                <w:rFonts w:ascii="Arial" w:hAnsi="Arial" w:cs="Arial"/>
                <w:color w:val="auto"/>
              </w:rPr>
            </w:pPr>
            <w:r w:rsidRPr="00490DCE">
              <w:rPr>
                <w:rFonts w:ascii="Arial" w:hAnsi="Arial" w:cs="Arial"/>
                <w:color w:val="auto"/>
              </w:rPr>
              <w:t>16</w:t>
            </w:r>
          </w:p>
        </w:tc>
        <w:tc>
          <w:tcPr>
            <w:tcW w:w="729" w:type="pct"/>
          </w:tcPr>
          <w:p w14:paraId="50376FBC"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9</w:t>
            </w:r>
          </w:p>
        </w:tc>
        <w:tc>
          <w:tcPr>
            <w:cnfStyle w:val="000010000000" w:firstRow="0" w:lastRow="0" w:firstColumn="0" w:lastColumn="0" w:oddVBand="1" w:evenVBand="0" w:oddHBand="0" w:evenHBand="0" w:firstRowFirstColumn="0" w:firstRowLastColumn="0" w:lastRowFirstColumn="0" w:lastRowLastColumn="0"/>
            <w:tcW w:w="729" w:type="pct"/>
          </w:tcPr>
          <w:p w14:paraId="79C66904" w14:textId="77777777" w:rsidR="000A5CFA" w:rsidRPr="00490DCE" w:rsidRDefault="000A5CFA">
            <w:pPr>
              <w:pStyle w:val="body"/>
              <w:jc w:val="right"/>
              <w:rPr>
                <w:rFonts w:ascii="Arial" w:hAnsi="Arial" w:cs="Arial"/>
                <w:color w:val="auto"/>
              </w:rPr>
            </w:pPr>
            <w:r w:rsidRPr="00490DCE">
              <w:rPr>
                <w:rFonts w:ascii="Arial" w:hAnsi="Arial" w:cs="Arial"/>
                <w:color w:val="auto"/>
              </w:rPr>
              <w:t>2</w:t>
            </w:r>
          </w:p>
        </w:tc>
      </w:tr>
      <w:tr w:rsidR="000A5CFA" w:rsidRPr="00490DCE" w14:paraId="72FF03C9"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085" w:type="pct"/>
          </w:tcPr>
          <w:p w14:paraId="64CC1153" w14:textId="77777777" w:rsidR="000A5CFA" w:rsidRPr="00490DCE" w:rsidRDefault="000A5CFA">
            <w:pPr>
              <w:pStyle w:val="body"/>
              <w:rPr>
                <w:rFonts w:ascii="Arial" w:hAnsi="Arial" w:cs="Arial"/>
                <w:color w:val="auto"/>
              </w:rPr>
            </w:pPr>
            <w:r w:rsidRPr="00490DCE">
              <w:rPr>
                <w:rStyle w:val="bold"/>
                <w:rFonts w:ascii="Arial" w:hAnsi="Arial" w:cs="Arial"/>
                <w:color w:val="auto"/>
              </w:rPr>
              <w:t>Total</w:t>
            </w:r>
          </w:p>
        </w:tc>
        <w:tc>
          <w:tcPr>
            <w:tcW w:w="729" w:type="pct"/>
          </w:tcPr>
          <w:p w14:paraId="03C17C04"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Style w:val="bold"/>
                <w:rFonts w:ascii="Arial" w:hAnsi="Arial" w:cs="Arial"/>
                <w:color w:val="auto"/>
              </w:rPr>
              <w:t>16</w:t>
            </w:r>
          </w:p>
        </w:tc>
        <w:tc>
          <w:tcPr>
            <w:cnfStyle w:val="000010000000" w:firstRow="0" w:lastRow="0" w:firstColumn="0" w:lastColumn="0" w:oddVBand="1" w:evenVBand="0" w:oddHBand="0" w:evenHBand="0" w:firstRowFirstColumn="0" w:firstRowLastColumn="0" w:lastRowFirstColumn="0" w:lastRowLastColumn="0"/>
            <w:tcW w:w="729" w:type="pct"/>
          </w:tcPr>
          <w:p w14:paraId="30BF5748" w14:textId="77777777" w:rsidR="000A5CFA" w:rsidRPr="00490DCE" w:rsidRDefault="000A5CFA">
            <w:pPr>
              <w:pStyle w:val="body"/>
              <w:jc w:val="right"/>
              <w:rPr>
                <w:rFonts w:ascii="Arial" w:hAnsi="Arial" w:cs="Arial"/>
                <w:color w:val="auto"/>
              </w:rPr>
            </w:pPr>
            <w:r w:rsidRPr="00490DCE">
              <w:rPr>
                <w:rStyle w:val="bold"/>
                <w:rFonts w:ascii="Arial" w:hAnsi="Arial" w:cs="Arial"/>
                <w:color w:val="auto"/>
              </w:rPr>
              <w:t>30</w:t>
            </w:r>
          </w:p>
        </w:tc>
        <w:tc>
          <w:tcPr>
            <w:tcW w:w="729" w:type="pct"/>
          </w:tcPr>
          <w:p w14:paraId="378436F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Style w:val="bold"/>
                <w:rFonts w:ascii="Arial" w:hAnsi="Arial" w:cs="Arial"/>
                <w:color w:val="auto"/>
              </w:rPr>
              <w:t>14</w:t>
            </w:r>
          </w:p>
        </w:tc>
        <w:tc>
          <w:tcPr>
            <w:cnfStyle w:val="000010000000" w:firstRow="0" w:lastRow="0" w:firstColumn="0" w:lastColumn="0" w:oddVBand="1" w:evenVBand="0" w:oddHBand="0" w:evenHBand="0" w:firstRowFirstColumn="0" w:firstRowLastColumn="0" w:lastRowFirstColumn="0" w:lastRowLastColumn="0"/>
            <w:tcW w:w="729" w:type="pct"/>
          </w:tcPr>
          <w:p w14:paraId="663DFC25" w14:textId="77777777" w:rsidR="000A5CFA" w:rsidRPr="00490DCE" w:rsidRDefault="000A5CFA">
            <w:pPr>
              <w:pStyle w:val="body"/>
              <w:jc w:val="right"/>
              <w:rPr>
                <w:rFonts w:ascii="Arial" w:hAnsi="Arial" w:cs="Arial"/>
                <w:color w:val="auto"/>
              </w:rPr>
            </w:pPr>
            <w:r w:rsidRPr="00490DCE">
              <w:rPr>
                <w:rStyle w:val="bold"/>
                <w:rFonts w:ascii="Arial" w:hAnsi="Arial" w:cs="Arial"/>
                <w:color w:val="auto"/>
              </w:rPr>
              <w:t>10</w:t>
            </w:r>
          </w:p>
        </w:tc>
      </w:tr>
    </w:tbl>
    <w:p w14:paraId="3C4128E3" w14:textId="77777777" w:rsidR="000A5CFA" w:rsidRPr="00490DCE" w:rsidRDefault="000A5CFA">
      <w:pPr>
        <w:pStyle w:val="body"/>
        <w:rPr>
          <w:rFonts w:ascii="Arial" w:hAnsi="Arial" w:cs="Arial"/>
          <w:color w:val="auto"/>
          <w:sz w:val="22"/>
          <w:szCs w:val="22"/>
          <w:lang w:val="en-US"/>
        </w:rPr>
      </w:pPr>
    </w:p>
    <w:p w14:paraId="2ACA517A" w14:textId="38B01441" w:rsidR="000A5CFA" w:rsidRPr="00490DCE" w:rsidRDefault="000A5CFA" w:rsidP="004854B5">
      <w:pPr>
        <w:rPr>
          <w:rFonts w:cs="Arial"/>
        </w:rPr>
      </w:pPr>
      <w:r w:rsidRPr="00490DCE">
        <w:rPr>
          <w:rFonts w:cs="Arial"/>
        </w:rPr>
        <w:t>There were a total of 95 PIRs required as at 30 June 2013, of which three were non</w:t>
      </w:r>
      <w:r w:rsidR="00F43F6A">
        <w:rPr>
          <w:rFonts w:ascii="American Typewriter Light" w:hAnsi="American Typewriter Light" w:cs="American Typewriter Light"/>
        </w:rPr>
        <w:t>-</w:t>
      </w:r>
      <w:r w:rsidRPr="00490DCE">
        <w:rPr>
          <w:rFonts w:cs="Arial"/>
        </w:rPr>
        <w:t xml:space="preserve">compliant for not having been completed within a reasonable timeframe from the due date of commencement (Table 2.5). Of the remaining 92 PIRs, in 18 cases the regulation has not yet been implemented, </w:t>
      </w:r>
      <w:r w:rsidRPr="00490DCE">
        <w:rPr>
          <w:rFonts w:cs="Arial"/>
        </w:rPr>
        <w:br/>
        <w:t>43 PIRs have not been started, 11 have started, six were completed but not yet published and 14 were completed and published.</w:t>
      </w:r>
    </w:p>
    <w:p w14:paraId="2EA473F6" w14:textId="77777777" w:rsidR="000A5CFA" w:rsidRPr="00490DCE" w:rsidRDefault="000A5CFA" w:rsidP="004854B5">
      <w:pPr>
        <w:rPr>
          <w:rFonts w:cs="Arial"/>
        </w:rPr>
      </w:pPr>
      <w:r w:rsidRPr="00490DCE">
        <w:rPr>
          <w:rFonts w:cs="Arial"/>
        </w:rPr>
        <w:t>Treasury had the most PIRs completed and published in 2012–13 with six, while the Australian Communications and Media Authority and Department of Education, Employment and Workplace Relations each completed and published two PIRs.</w:t>
      </w:r>
    </w:p>
    <w:p w14:paraId="76017882" w14:textId="77777777" w:rsidR="000A5CFA" w:rsidRPr="00490DCE" w:rsidRDefault="004854B5">
      <w:pPr>
        <w:pStyle w:val="tabletitle"/>
        <w:rPr>
          <w:rFonts w:cs="Arial"/>
        </w:rPr>
      </w:pPr>
      <w:r w:rsidRPr="00490DCE">
        <w:rPr>
          <w:rFonts w:cs="Arial"/>
        </w:rPr>
        <w:br w:type="page"/>
      </w:r>
      <w:r w:rsidR="000A5CFA" w:rsidRPr="00490DCE">
        <w:rPr>
          <w:rFonts w:cs="Arial"/>
        </w:rPr>
        <w:lastRenderedPageBreak/>
        <w:t>Table 2.5: Post-implementation review status and compliance</w:t>
      </w:r>
    </w:p>
    <w:tbl>
      <w:tblPr>
        <w:tblStyle w:val="LightList"/>
        <w:tblW w:w="5000" w:type="pct"/>
        <w:tblLook w:val="0020" w:firstRow="1" w:lastRow="0" w:firstColumn="0" w:lastColumn="0" w:noHBand="0" w:noVBand="0"/>
        <w:tblDescription w:val="Status of post implementation reviews including compliance status"/>
      </w:tblPr>
      <w:tblGrid>
        <w:gridCol w:w="3618"/>
        <w:gridCol w:w="2078"/>
        <w:gridCol w:w="2393"/>
        <w:gridCol w:w="1759"/>
      </w:tblGrid>
      <w:tr w:rsidR="000A5CFA" w:rsidRPr="00490DCE" w14:paraId="7AAF7B95"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837" w:type="pct"/>
          </w:tcPr>
          <w:p w14:paraId="317912C1"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PIR Status</w:t>
            </w:r>
          </w:p>
        </w:tc>
        <w:tc>
          <w:tcPr>
            <w:tcW w:w="1055" w:type="pct"/>
          </w:tcPr>
          <w:p w14:paraId="0CD155F3"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Compliant</w:t>
            </w:r>
          </w:p>
        </w:tc>
        <w:tc>
          <w:tcPr>
            <w:cnfStyle w:val="000010000000" w:firstRow="0" w:lastRow="0" w:firstColumn="0" w:lastColumn="0" w:oddVBand="1" w:evenVBand="0" w:oddHBand="0" w:evenHBand="0" w:firstRowFirstColumn="0" w:firstRowLastColumn="0" w:lastRowFirstColumn="0" w:lastRowLastColumn="0"/>
            <w:tcW w:w="1215" w:type="pct"/>
          </w:tcPr>
          <w:p w14:paraId="55DB0AF7"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Non-compliant</w:t>
            </w:r>
          </w:p>
        </w:tc>
        <w:tc>
          <w:tcPr>
            <w:tcW w:w="894" w:type="pct"/>
          </w:tcPr>
          <w:p w14:paraId="4F408EB4"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TOTAL</w:t>
            </w:r>
          </w:p>
        </w:tc>
      </w:tr>
      <w:tr w:rsidR="000A5CFA" w:rsidRPr="00490DCE" w14:paraId="114C0CFC"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37" w:type="pct"/>
          </w:tcPr>
          <w:p w14:paraId="39250E6C" w14:textId="77777777" w:rsidR="000A5CFA" w:rsidRPr="00490DCE" w:rsidRDefault="000A5CFA">
            <w:pPr>
              <w:pStyle w:val="body"/>
              <w:rPr>
                <w:rFonts w:ascii="Arial" w:hAnsi="Arial" w:cs="Arial"/>
                <w:color w:val="auto"/>
              </w:rPr>
            </w:pPr>
            <w:r w:rsidRPr="00490DCE">
              <w:rPr>
                <w:rStyle w:val="bold"/>
                <w:rFonts w:ascii="Arial" w:hAnsi="Arial" w:cs="Arial"/>
                <w:color w:val="auto"/>
              </w:rPr>
              <w:t>Not implemented</w:t>
            </w:r>
          </w:p>
        </w:tc>
        <w:tc>
          <w:tcPr>
            <w:tcW w:w="1055" w:type="pct"/>
          </w:tcPr>
          <w:p w14:paraId="5DA7127C"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18</w:t>
            </w:r>
          </w:p>
        </w:tc>
        <w:tc>
          <w:tcPr>
            <w:cnfStyle w:val="000010000000" w:firstRow="0" w:lastRow="0" w:firstColumn="0" w:lastColumn="0" w:oddVBand="1" w:evenVBand="0" w:oddHBand="0" w:evenHBand="0" w:firstRowFirstColumn="0" w:firstRowLastColumn="0" w:lastRowFirstColumn="0" w:lastRowLastColumn="0"/>
            <w:tcW w:w="1215" w:type="pct"/>
          </w:tcPr>
          <w:p w14:paraId="6D7D034C" w14:textId="77777777" w:rsidR="000A5CFA" w:rsidRPr="00490DCE" w:rsidRDefault="000A5CFA">
            <w:pPr>
              <w:pStyle w:val="NoParagraphStyle"/>
              <w:spacing w:line="240" w:lineRule="auto"/>
              <w:textAlignment w:val="auto"/>
              <w:rPr>
                <w:rFonts w:ascii="Arial" w:hAnsi="Arial" w:cs="Arial"/>
                <w:color w:val="auto"/>
                <w:lang w:val="en-US"/>
              </w:rPr>
            </w:pPr>
          </w:p>
        </w:tc>
        <w:tc>
          <w:tcPr>
            <w:tcW w:w="894" w:type="pct"/>
          </w:tcPr>
          <w:p w14:paraId="6FF47C28"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18</w:t>
            </w:r>
          </w:p>
        </w:tc>
      </w:tr>
      <w:tr w:rsidR="000A5CFA" w:rsidRPr="00490DCE" w14:paraId="4308A39D"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1837" w:type="pct"/>
          </w:tcPr>
          <w:p w14:paraId="2D9ADC2A" w14:textId="77777777" w:rsidR="000A5CFA" w:rsidRPr="00490DCE" w:rsidRDefault="000A5CFA">
            <w:pPr>
              <w:pStyle w:val="body"/>
              <w:rPr>
                <w:rFonts w:ascii="Arial" w:hAnsi="Arial" w:cs="Arial"/>
                <w:color w:val="auto"/>
              </w:rPr>
            </w:pPr>
            <w:r w:rsidRPr="00490DCE">
              <w:rPr>
                <w:rStyle w:val="bold"/>
                <w:rFonts w:ascii="Arial" w:hAnsi="Arial" w:cs="Arial"/>
                <w:color w:val="auto"/>
              </w:rPr>
              <w:t>Not started</w:t>
            </w:r>
          </w:p>
        </w:tc>
        <w:tc>
          <w:tcPr>
            <w:tcW w:w="1055" w:type="pct"/>
          </w:tcPr>
          <w:p w14:paraId="28FD0F13"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43</w:t>
            </w:r>
          </w:p>
        </w:tc>
        <w:tc>
          <w:tcPr>
            <w:cnfStyle w:val="000010000000" w:firstRow="0" w:lastRow="0" w:firstColumn="0" w:lastColumn="0" w:oddVBand="1" w:evenVBand="0" w:oddHBand="0" w:evenHBand="0" w:firstRowFirstColumn="0" w:firstRowLastColumn="0" w:lastRowFirstColumn="0" w:lastRowLastColumn="0"/>
            <w:tcW w:w="1215" w:type="pct"/>
          </w:tcPr>
          <w:p w14:paraId="0F382140" w14:textId="77777777" w:rsidR="000A5CFA" w:rsidRPr="00490DCE" w:rsidRDefault="000A5CFA">
            <w:pPr>
              <w:pStyle w:val="NoParagraphStyle"/>
              <w:spacing w:line="240" w:lineRule="auto"/>
              <w:textAlignment w:val="auto"/>
              <w:rPr>
                <w:rFonts w:ascii="Arial" w:hAnsi="Arial" w:cs="Arial"/>
                <w:color w:val="auto"/>
                <w:lang w:val="en-US"/>
              </w:rPr>
            </w:pPr>
          </w:p>
        </w:tc>
        <w:tc>
          <w:tcPr>
            <w:tcW w:w="894" w:type="pct"/>
          </w:tcPr>
          <w:p w14:paraId="77604374"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43</w:t>
            </w:r>
          </w:p>
        </w:tc>
      </w:tr>
      <w:tr w:rsidR="000A5CFA" w:rsidRPr="00490DCE" w14:paraId="292817D9"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37" w:type="pct"/>
          </w:tcPr>
          <w:p w14:paraId="3D799C38" w14:textId="77777777" w:rsidR="000A5CFA" w:rsidRPr="00490DCE" w:rsidRDefault="000A5CFA">
            <w:pPr>
              <w:pStyle w:val="body"/>
              <w:rPr>
                <w:rFonts w:ascii="Arial" w:hAnsi="Arial" w:cs="Arial"/>
                <w:color w:val="auto"/>
              </w:rPr>
            </w:pPr>
            <w:r w:rsidRPr="00490DCE">
              <w:rPr>
                <w:rStyle w:val="bold"/>
                <w:rFonts w:ascii="Arial" w:hAnsi="Arial" w:cs="Arial"/>
                <w:color w:val="auto"/>
              </w:rPr>
              <w:t>Started</w:t>
            </w:r>
          </w:p>
        </w:tc>
        <w:tc>
          <w:tcPr>
            <w:tcW w:w="1055" w:type="pct"/>
          </w:tcPr>
          <w:p w14:paraId="7D6AF68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11</w:t>
            </w:r>
          </w:p>
        </w:tc>
        <w:tc>
          <w:tcPr>
            <w:cnfStyle w:val="000010000000" w:firstRow="0" w:lastRow="0" w:firstColumn="0" w:lastColumn="0" w:oddVBand="1" w:evenVBand="0" w:oddHBand="0" w:evenHBand="0" w:firstRowFirstColumn="0" w:firstRowLastColumn="0" w:lastRowFirstColumn="0" w:lastRowLastColumn="0"/>
            <w:tcW w:w="1215" w:type="pct"/>
          </w:tcPr>
          <w:p w14:paraId="0B812969" w14:textId="77777777" w:rsidR="000A5CFA" w:rsidRPr="00490DCE" w:rsidRDefault="000A5CFA">
            <w:pPr>
              <w:pStyle w:val="body"/>
              <w:jc w:val="right"/>
              <w:rPr>
                <w:rFonts w:ascii="Arial" w:hAnsi="Arial" w:cs="Arial"/>
                <w:color w:val="auto"/>
              </w:rPr>
            </w:pPr>
            <w:r w:rsidRPr="00490DCE">
              <w:rPr>
                <w:rFonts w:ascii="Arial" w:hAnsi="Arial" w:cs="Arial"/>
                <w:color w:val="auto"/>
              </w:rPr>
              <w:t>3</w:t>
            </w:r>
          </w:p>
        </w:tc>
        <w:tc>
          <w:tcPr>
            <w:tcW w:w="894" w:type="pct"/>
          </w:tcPr>
          <w:p w14:paraId="751E5ECF"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14</w:t>
            </w:r>
          </w:p>
        </w:tc>
      </w:tr>
      <w:tr w:rsidR="000A5CFA" w:rsidRPr="00490DCE" w14:paraId="5EDFB7D0"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1837" w:type="pct"/>
          </w:tcPr>
          <w:p w14:paraId="0227A1FF" w14:textId="77777777" w:rsidR="000A5CFA" w:rsidRPr="00490DCE" w:rsidRDefault="000A5CFA">
            <w:pPr>
              <w:pStyle w:val="body"/>
              <w:rPr>
                <w:rFonts w:ascii="Arial" w:hAnsi="Arial" w:cs="Arial"/>
                <w:color w:val="auto"/>
              </w:rPr>
            </w:pPr>
            <w:r w:rsidRPr="00490DCE">
              <w:rPr>
                <w:rStyle w:val="bold"/>
                <w:rFonts w:ascii="Arial" w:hAnsi="Arial" w:cs="Arial"/>
                <w:color w:val="auto"/>
              </w:rPr>
              <w:t>Completed – not published</w:t>
            </w:r>
          </w:p>
        </w:tc>
        <w:tc>
          <w:tcPr>
            <w:tcW w:w="1055" w:type="pct"/>
          </w:tcPr>
          <w:p w14:paraId="457E7606"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6</w:t>
            </w:r>
          </w:p>
        </w:tc>
        <w:tc>
          <w:tcPr>
            <w:cnfStyle w:val="000010000000" w:firstRow="0" w:lastRow="0" w:firstColumn="0" w:lastColumn="0" w:oddVBand="1" w:evenVBand="0" w:oddHBand="0" w:evenHBand="0" w:firstRowFirstColumn="0" w:firstRowLastColumn="0" w:lastRowFirstColumn="0" w:lastRowLastColumn="0"/>
            <w:tcW w:w="1215" w:type="pct"/>
          </w:tcPr>
          <w:p w14:paraId="1F829B7A" w14:textId="77777777" w:rsidR="000A5CFA" w:rsidRPr="00490DCE" w:rsidRDefault="000A5CFA">
            <w:pPr>
              <w:pStyle w:val="NoParagraphStyle"/>
              <w:spacing w:line="240" w:lineRule="auto"/>
              <w:textAlignment w:val="auto"/>
              <w:rPr>
                <w:rFonts w:ascii="Arial" w:hAnsi="Arial" w:cs="Arial"/>
                <w:color w:val="auto"/>
                <w:lang w:val="en-US"/>
              </w:rPr>
            </w:pPr>
          </w:p>
        </w:tc>
        <w:tc>
          <w:tcPr>
            <w:tcW w:w="894" w:type="pct"/>
          </w:tcPr>
          <w:p w14:paraId="709352E3"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6</w:t>
            </w:r>
          </w:p>
        </w:tc>
      </w:tr>
      <w:tr w:rsidR="000A5CFA" w:rsidRPr="00490DCE" w14:paraId="3CF9D596"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837" w:type="pct"/>
          </w:tcPr>
          <w:p w14:paraId="479B8F63" w14:textId="77777777" w:rsidR="000A5CFA" w:rsidRPr="00490DCE" w:rsidRDefault="000A5CFA">
            <w:pPr>
              <w:pStyle w:val="body"/>
              <w:rPr>
                <w:rFonts w:ascii="Arial" w:hAnsi="Arial" w:cs="Arial"/>
                <w:color w:val="auto"/>
              </w:rPr>
            </w:pPr>
            <w:r w:rsidRPr="00490DCE">
              <w:rPr>
                <w:rStyle w:val="bold"/>
                <w:rFonts w:ascii="Arial" w:hAnsi="Arial" w:cs="Arial"/>
                <w:color w:val="auto"/>
              </w:rPr>
              <w:t>Completed – published</w:t>
            </w:r>
          </w:p>
        </w:tc>
        <w:tc>
          <w:tcPr>
            <w:tcW w:w="1055" w:type="pct"/>
          </w:tcPr>
          <w:p w14:paraId="35D8A73A"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14</w:t>
            </w:r>
          </w:p>
        </w:tc>
        <w:tc>
          <w:tcPr>
            <w:cnfStyle w:val="000010000000" w:firstRow="0" w:lastRow="0" w:firstColumn="0" w:lastColumn="0" w:oddVBand="1" w:evenVBand="0" w:oddHBand="0" w:evenHBand="0" w:firstRowFirstColumn="0" w:firstRowLastColumn="0" w:lastRowFirstColumn="0" w:lastRowLastColumn="0"/>
            <w:tcW w:w="1215" w:type="pct"/>
          </w:tcPr>
          <w:p w14:paraId="539422E0" w14:textId="77777777" w:rsidR="000A5CFA" w:rsidRPr="00490DCE" w:rsidRDefault="000A5CFA">
            <w:pPr>
              <w:pStyle w:val="NoParagraphStyle"/>
              <w:spacing w:line="240" w:lineRule="auto"/>
              <w:textAlignment w:val="auto"/>
              <w:rPr>
                <w:rFonts w:ascii="Arial" w:hAnsi="Arial" w:cs="Arial"/>
                <w:color w:val="auto"/>
                <w:lang w:val="en-US"/>
              </w:rPr>
            </w:pPr>
          </w:p>
        </w:tc>
        <w:tc>
          <w:tcPr>
            <w:tcW w:w="894" w:type="pct"/>
          </w:tcPr>
          <w:p w14:paraId="750ADE2A"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14</w:t>
            </w:r>
          </w:p>
        </w:tc>
      </w:tr>
      <w:tr w:rsidR="000A5CFA" w:rsidRPr="00490DCE" w14:paraId="4451A55E"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1837" w:type="pct"/>
          </w:tcPr>
          <w:p w14:paraId="5783BDB9" w14:textId="77777777" w:rsidR="000A5CFA" w:rsidRPr="00490DCE" w:rsidRDefault="000A5CFA">
            <w:pPr>
              <w:pStyle w:val="body"/>
              <w:rPr>
                <w:rFonts w:ascii="Arial" w:hAnsi="Arial" w:cs="Arial"/>
                <w:color w:val="auto"/>
              </w:rPr>
            </w:pPr>
            <w:r w:rsidRPr="00490DCE">
              <w:rPr>
                <w:rStyle w:val="bold"/>
                <w:rFonts w:ascii="Arial" w:hAnsi="Arial" w:cs="Arial"/>
                <w:color w:val="auto"/>
              </w:rPr>
              <w:t>TOTAL</w:t>
            </w:r>
          </w:p>
        </w:tc>
        <w:tc>
          <w:tcPr>
            <w:tcW w:w="1055" w:type="pct"/>
          </w:tcPr>
          <w:p w14:paraId="74124110"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92</w:t>
            </w:r>
          </w:p>
        </w:tc>
        <w:tc>
          <w:tcPr>
            <w:cnfStyle w:val="000010000000" w:firstRow="0" w:lastRow="0" w:firstColumn="0" w:lastColumn="0" w:oddVBand="1" w:evenVBand="0" w:oddHBand="0" w:evenHBand="0" w:firstRowFirstColumn="0" w:firstRowLastColumn="0" w:lastRowFirstColumn="0" w:lastRowLastColumn="0"/>
            <w:tcW w:w="1215" w:type="pct"/>
          </w:tcPr>
          <w:p w14:paraId="7B57015D" w14:textId="77777777" w:rsidR="000A5CFA" w:rsidRPr="00490DCE" w:rsidRDefault="000A5CFA">
            <w:pPr>
              <w:pStyle w:val="body"/>
              <w:jc w:val="right"/>
              <w:rPr>
                <w:rFonts w:ascii="Arial" w:hAnsi="Arial" w:cs="Arial"/>
                <w:color w:val="auto"/>
              </w:rPr>
            </w:pPr>
            <w:r w:rsidRPr="00490DCE">
              <w:rPr>
                <w:rFonts w:ascii="Arial" w:hAnsi="Arial" w:cs="Arial"/>
                <w:color w:val="auto"/>
              </w:rPr>
              <w:t>3</w:t>
            </w:r>
          </w:p>
        </w:tc>
        <w:tc>
          <w:tcPr>
            <w:tcW w:w="894" w:type="pct"/>
          </w:tcPr>
          <w:p w14:paraId="53DC450B"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95</w:t>
            </w:r>
          </w:p>
        </w:tc>
      </w:tr>
    </w:tbl>
    <w:p w14:paraId="0B41CFFB" w14:textId="77777777" w:rsidR="000A5CFA" w:rsidRPr="00490DCE" w:rsidRDefault="000A5CFA">
      <w:pPr>
        <w:pStyle w:val="body"/>
        <w:rPr>
          <w:rFonts w:ascii="Arial" w:hAnsi="Arial" w:cs="Arial"/>
          <w:color w:val="auto"/>
          <w:sz w:val="22"/>
          <w:szCs w:val="22"/>
          <w:lang w:val="en-US"/>
        </w:rPr>
      </w:pPr>
    </w:p>
    <w:p w14:paraId="76D498F0" w14:textId="77777777" w:rsidR="000A5CFA" w:rsidRPr="00490DCE" w:rsidRDefault="000A5CFA" w:rsidP="004854B5">
      <w:pPr>
        <w:rPr>
          <w:rFonts w:cs="Arial"/>
        </w:rPr>
      </w:pPr>
      <w:r w:rsidRPr="00490DCE">
        <w:rPr>
          <w:rFonts w:cs="Arial"/>
        </w:rPr>
        <w:t>As listed in Table 2.6, three departments, Health and Ageing, Infrastructure and Transport, and Treasury, had a non-compliant PIR in 2012–13. The reason for non-compliance was because each PIR had not been completed within a reasonable timeframe.</w:t>
      </w:r>
    </w:p>
    <w:p w14:paraId="54FC1756" w14:textId="77777777" w:rsidR="000A5CFA" w:rsidRPr="00490DCE" w:rsidRDefault="000A5CFA">
      <w:pPr>
        <w:pStyle w:val="tabletitle"/>
        <w:rPr>
          <w:rFonts w:cs="Arial"/>
        </w:rPr>
      </w:pPr>
      <w:r w:rsidRPr="00490DCE">
        <w:rPr>
          <w:rFonts w:cs="Arial"/>
        </w:rPr>
        <w:t>Table 2.6: Post-implementation review non-compliance 2012–13</w:t>
      </w:r>
    </w:p>
    <w:tbl>
      <w:tblPr>
        <w:tblStyle w:val="LightList"/>
        <w:tblW w:w="5000" w:type="pct"/>
        <w:tblLook w:val="0020" w:firstRow="1" w:lastRow="0" w:firstColumn="0" w:lastColumn="0" w:noHBand="0" w:noVBand="0"/>
        <w:tblDescription w:val="post implementation review non-compliance"/>
      </w:tblPr>
      <w:tblGrid>
        <w:gridCol w:w="6372"/>
        <w:gridCol w:w="3476"/>
      </w:tblGrid>
      <w:tr w:rsidR="000A5CFA" w:rsidRPr="00490DCE" w14:paraId="7D688B3E" w14:textId="77777777" w:rsidTr="007425EA">
        <w:trPr>
          <w:cnfStyle w:val="100000000000" w:firstRow="1" w:lastRow="0" w:firstColumn="0" w:lastColumn="0" w:oddVBand="0" w:evenVBand="0" w:oddHBand="0" w:evenHBand="0" w:firstRowFirstColumn="0" w:firstRowLastColumn="0" w:lastRowFirstColumn="0" w:lastRowLastColumn="0"/>
          <w:trHeight w:val="326"/>
          <w:tblHeader/>
        </w:trPr>
        <w:tc>
          <w:tcPr>
            <w:cnfStyle w:val="000010000000" w:firstRow="0" w:lastRow="0" w:firstColumn="0" w:lastColumn="0" w:oddVBand="1" w:evenVBand="0" w:oddHBand="0" w:evenHBand="0" w:firstRowFirstColumn="0" w:firstRowLastColumn="0" w:lastRowFirstColumn="0" w:lastRowLastColumn="0"/>
            <w:tcW w:w="3235" w:type="pct"/>
          </w:tcPr>
          <w:p w14:paraId="66182AA9"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Post-implementation review</w:t>
            </w:r>
          </w:p>
        </w:tc>
        <w:tc>
          <w:tcPr>
            <w:tcW w:w="1765" w:type="pct"/>
          </w:tcPr>
          <w:p w14:paraId="48298F3A"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Department</w:t>
            </w:r>
          </w:p>
        </w:tc>
      </w:tr>
      <w:tr w:rsidR="000A5CFA" w:rsidRPr="00490DCE" w14:paraId="69B07D3E" w14:textId="77777777" w:rsidTr="002C252F">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3235" w:type="pct"/>
          </w:tcPr>
          <w:p w14:paraId="2EB2CE4C" w14:textId="77777777" w:rsidR="000A5CFA" w:rsidRPr="00490DCE" w:rsidRDefault="000A5CFA">
            <w:pPr>
              <w:pStyle w:val="body"/>
              <w:rPr>
                <w:rFonts w:ascii="Arial" w:hAnsi="Arial" w:cs="Arial"/>
                <w:color w:val="auto"/>
              </w:rPr>
            </w:pPr>
            <w:r w:rsidRPr="00490DCE">
              <w:rPr>
                <w:rFonts w:ascii="Arial" w:hAnsi="Arial" w:cs="Arial"/>
                <w:color w:val="auto"/>
              </w:rPr>
              <w:t>Fifth Community Pharmacy Agreement</w:t>
            </w:r>
          </w:p>
        </w:tc>
        <w:tc>
          <w:tcPr>
            <w:tcW w:w="1765" w:type="pct"/>
          </w:tcPr>
          <w:p w14:paraId="1CA10E5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DHA</w:t>
            </w:r>
          </w:p>
        </w:tc>
      </w:tr>
      <w:tr w:rsidR="000A5CFA" w:rsidRPr="00490DCE" w14:paraId="7BCF3F7D" w14:textId="77777777" w:rsidTr="002C252F">
        <w:trPr>
          <w:trHeight w:val="581"/>
        </w:trPr>
        <w:tc>
          <w:tcPr>
            <w:cnfStyle w:val="000010000000" w:firstRow="0" w:lastRow="0" w:firstColumn="0" w:lastColumn="0" w:oddVBand="1" w:evenVBand="0" w:oddHBand="0" w:evenHBand="0" w:firstRowFirstColumn="0" w:firstRowLastColumn="0" w:lastRowFirstColumn="0" w:lastRowLastColumn="0"/>
            <w:tcW w:w="3235" w:type="pct"/>
          </w:tcPr>
          <w:p w14:paraId="32C1989A" w14:textId="77777777" w:rsidR="000A5CFA" w:rsidRPr="00490DCE" w:rsidRDefault="000A5CFA">
            <w:pPr>
              <w:pStyle w:val="body"/>
              <w:rPr>
                <w:rFonts w:ascii="Arial" w:hAnsi="Arial" w:cs="Arial"/>
                <w:color w:val="auto"/>
              </w:rPr>
            </w:pPr>
            <w:r w:rsidRPr="00E15F55">
              <w:rPr>
                <w:rFonts w:ascii="Arial" w:hAnsi="Arial" w:cs="Arial"/>
                <w:i/>
                <w:color w:val="auto"/>
              </w:rPr>
              <w:t>Aviation Transport Security Amendment (Additional Screening Measures) Act 2007</w:t>
            </w:r>
            <w:r w:rsidRPr="00490DCE">
              <w:rPr>
                <w:rFonts w:ascii="Arial" w:hAnsi="Arial" w:cs="Arial"/>
                <w:color w:val="auto"/>
              </w:rPr>
              <w:t>; Aviation Transport Security Amendment Regulations 2007 (No. 4)</w:t>
            </w:r>
          </w:p>
        </w:tc>
        <w:tc>
          <w:tcPr>
            <w:tcW w:w="1765" w:type="pct"/>
          </w:tcPr>
          <w:p w14:paraId="4808270F"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DIT</w:t>
            </w:r>
          </w:p>
        </w:tc>
      </w:tr>
      <w:tr w:rsidR="000A5CFA" w:rsidRPr="00490DCE" w14:paraId="1C8313D0" w14:textId="77777777" w:rsidTr="002C252F">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3235" w:type="pct"/>
          </w:tcPr>
          <w:p w14:paraId="58C3A4D5" w14:textId="77777777" w:rsidR="000A5CFA" w:rsidRPr="00490DCE" w:rsidRDefault="000A5CFA" w:rsidP="002C252F">
            <w:pPr>
              <w:pStyle w:val="body"/>
              <w:rPr>
                <w:rFonts w:ascii="Arial" w:hAnsi="Arial" w:cs="Arial"/>
                <w:color w:val="auto"/>
              </w:rPr>
            </w:pPr>
            <w:r w:rsidRPr="00490DCE">
              <w:rPr>
                <w:rFonts w:ascii="Arial" w:hAnsi="Arial" w:cs="Arial"/>
                <w:color w:val="auto"/>
              </w:rPr>
              <w:t>Corporations Amendment (Improving Accountability on Termination Payments) Bill 2009</w:t>
            </w:r>
          </w:p>
        </w:tc>
        <w:tc>
          <w:tcPr>
            <w:tcW w:w="1765" w:type="pct"/>
          </w:tcPr>
          <w:p w14:paraId="6497541F"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Treasury</w:t>
            </w:r>
          </w:p>
        </w:tc>
      </w:tr>
    </w:tbl>
    <w:p w14:paraId="6B9BD146" w14:textId="77777777" w:rsidR="000A5CFA" w:rsidRPr="00490DCE" w:rsidRDefault="000A5CFA">
      <w:pPr>
        <w:pStyle w:val="body"/>
        <w:rPr>
          <w:rFonts w:ascii="Arial" w:hAnsi="Arial" w:cs="Arial"/>
          <w:color w:val="auto"/>
          <w:sz w:val="22"/>
          <w:szCs w:val="22"/>
          <w:lang w:val="en-US"/>
        </w:rPr>
      </w:pPr>
    </w:p>
    <w:p w14:paraId="53B86BE8" w14:textId="77777777" w:rsidR="000A5CFA" w:rsidRPr="00490DCE" w:rsidRDefault="000A5CFA" w:rsidP="00E804F7">
      <w:pPr>
        <w:pStyle w:val="Heading4"/>
        <w:rPr>
          <w:rFonts w:cs="Arial"/>
        </w:rPr>
      </w:pPr>
      <w:r w:rsidRPr="00490DCE">
        <w:rPr>
          <w:rFonts w:cs="Arial"/>
        </w:rPr>
        <w:t>Publication of Annual Regulatory Plans</w:t>
      </w:r>
    </w:p>
    <w:p w14:paraId="65107853" w14:textId="77777777" w:rsidR="000A5CFA" w:rsidRPr="00490DCE" w:rsidRDefault="000A5CFA" w:rsidP="004854B5">
      <w:pPr>
        <w:rPr>
          <w:rFonts w:cs="Arial"/>
        </w:rPr>
      </w:pPr>
      <w:r w:rsidRPr="00490DCE">
        <w:rPr>
          <w:rFonts w:cs="Arial"/>
        </w:rPr>
        <w:t>Annual Regulatory Plans are designed to provide business and the not-for-profit sector with information about planned changes to Australian Government regulation and make it easier for stakeholders to take part in the development of regulation that is likely to affect them. These plans contain information about proposed regulatory activity, including a description of the issue, information about the consultation strategy and an expected timetable.</w:t>
      </w:r>
    </w:p>
    <w:p w14:paraId="43E4E836" w14:textId="77777777" w:rsidR="000A5CFA" w:rsidRPr="00490DCE" w:rsidRDefault="000A5CFA" w:rsidP="004854B5">
      <w:pPr>
        <w:rPr>
          <w:rFonts w:cs="Arial"/>
        </w:rPr>
      </w:pPr>
      <w:r w:rsidRPr="00490DCE">
        <w:rPr>
          <w:rFonts w:cs="Arial"/>
        </w:rPr>
        <w:t>Annual Regulatory Plans are published on the website of each agency and the OBPR also publishes the plans on its website.</w:t>
      </w:r>
    </w:p>
    <w:p w14:paraId="3FAD3436" w14:textId="77777777" w:rsidR="000A5CFA" w:rsidRPr="00490DCE" w:rsidRDefault="000A5CFA" w:rsidP="004854B5">
      <w:pPr>
        <w:rPr>
          <w:rFonts w:cs="Arial"/>
        </w:rPr>
      </w:pPr>
      <w:r w:rsidRPr="00490DCE">
        <w:rPr>
          <w:rFonts w:cs="Arial"/>
        </w:rPr>
        <w:t>In 2012–13 most departments and agencies complied with the Annual Regulatory Plan requirements. One agency, the Australian Securities and Investments Commission did not publish an Annual Regulatory Plan as required by the Australian Government’s RIA process.</w:t>
      </w:r>
    </w:p>
    <w:p w14:paraId="72B8D83A" w14:textId="77777777" w:rsidR="000A5CFA" w:rsidRPr="00490DCE" w:rsidRDefault="000A5CFA" w:rsidP="00E804F7">
      <w:pPr>
        <w:pStyle w:val="Heading3"/>
        <w:rPr>
          <w:rFonts w:cs="Arial"/>
        </w:rPr>
      </w:pPr>
      <w:r w:rsidRPr="00490DCE">
        <w:rPr>
          <w:rFonts w:cs="Arial"/>
        </w:rPr>
        <w:t>2.3 COAG best practice regulation requirements</w:t>
      </w:r>
    </w:p>
    <w:p w14:paraId="384C1664" w14:textId="77777777" w:rsidR="000A5CFA" w:rsidRPr="00490DCE" w:rsidRDefault="000A5CFA" w:rsidP="004854B5">
      <w:pPr>
        <w:rPr>
          <w:rFonts w:cs="Arial"/>
        </w:rPr>
      </w:pPr>
      <w:r w:rsidRPr="00490DCE">
        <w:rPr>
          <w:rFonts w:cs="Arial"/>
        </w:rPr>
        <w:t>Regulation making also occurs at a national or inter-jurisdictional level among some 30 COAG councils and NSSBs. In 1995, COAG agreed a set of principles and guidelines for such activities. In 2007, COAG strengthened these requirements and released the COAG Guide. The major element of the COAG Guide is the preparation of RISs for those national regulatory decisions that:</w:t>
      </w:r>
    </w:p>
    <w:p w14:paraId="5A03D4C4" w14:textId="77777777" w:rsidR="000A5CFA" w:rsidRPr="00490DCE" w:rsidRDefault="000A5CFA" w:rsidP="004854B5">
      <w:pPr>
        <w:rPr>
          <w:rStyle w:val="italic"/>
          <w:rFonts w:cs="Arial"/>
        </w:rPr>
      </w:pPr>
      <w:r w:rsidRPr="00490DCE">
        <w:rPr>
          <w:rStyle w:val="italic"/>
          <w:rFonts w:cs="Arial"/>
        </w:rPr>
        <w:t>‘…</w:t>
      </w:r>
      <w:r w:rsidRPr="009A2499">
        <w:rPr>
          <w:rStyle w:val="italic"/>
          <w:rFonts w:cs="Arial"/>
          <w:i/>
        </w:rPr>
        <w:t>would encourage or force business or individuals to pursue their interests in ways they would not otherwise have done</w:t>
      </w:r>
      <w:r w:rsidRPr="00490DCE">
        <w:rPr>
          <w:rStyle w:val="italic"/>
          <w:rFonts w:cs="Arial"/>
        </w:rPr>
        <w:t>.’ (COAG Guide, p.3).</w:t>
      </w:r>
    </w:p>
    <w:p w14:paraId="60064642" w14:textId="77777777" w:rsidR="000A5CFA" w:rsidRPr="00490DCE" w:rsidRDefault="000A5CFA" w:rsidP="004854B5">
      <w:pPr>
        <w:rPr>
          <w:rFonts w:cs="Arial"/>
          <w:spacing w:val="-2"/>
        </w:rPr>
      </w:pPr>
      <w:r w:rsidRPr="00490DCE">
        <w:rPr>
          <w:rFonts w:cs="Arial"/>
          <w:spacing w:val="-2"/>
        </w:rPr>
        <w:t>COAG requires a RIS to be prepared at two stages: first for community consultation with parties likely to be affected by the regulatory proposal; and the second or final RIS, reflecting feedback from the community, to assist the decision-maker. The final RIS should be made public as soon as possible after the decision is announced. At each stage, the OBPR is required by COAG to assess whether:</w:t>
      </w:r>
    </w:p>
    <w:p w14:paraId="6BC230C2" w14:textId="77777777" w:rsidR="000A5CFA" w:rsidRPr="00490DCE" w:rsidRDefault="000A5CFA" w:rsidP="004854B5">
      <w:pPr>
        <w:pStyle w:val="ListParagraph"/>
        <w:rPr>
          <w:rFonts w:cs="Arial"/>
        </w:rPr>
      </w:pPr>
      <w:r w:rsidRPr="00490DCE">
        <w:rPr>
          <w:rFonts w:cs="Arial"/>
        </w:rPr>
        <w:t>the COAG RIS guidelines have been followed;</w:t>
      </w:r>
    </w:p>
    <w:p w14:paraId="13D57A11" w14:textId="77777777" w:rsidR="000A5CFA" w:rsidRPr="00490DCE" w:rsidRDefault="000A5CFA" w:rsidP="004854B5">
      <w:pPr>
        <w:pStyle w:val="ListParagraph"/>
        <w:rPr>
          <w:rFonts w:cs="Arial"/>
        </w:rPr>
      </w:pPr>
      <w:r w:rsidRPr="00490DCE">
        <w:rPr>
          <w:rFonts w:cs="Arial"/>
        </w:rPr>
        <w:lastRenderedPageBreak/>
        <w:t>the type and level of analysis in the RIS is adequate and commensurate with the potential economic and social impacts of the proposal; and</w:t>
      </w:r>
    </w:p>
    <w:p w14:paraId="7FB88DC0" w14:textId="77777777" w:rsidR="000A5CFA" w:rsidRPr="00490DCE" w:rsidRDefault="000A5CFA" w:rsidP="004854B5">
      <w:pPr>
        <w:pStyle w:val="ListParagraph"/>
        <w:rPr>
          <w:rFonts w:cs="Arial"/>
        </w:rPr>
      </w:pPr>
      <w:proofErr w:type="gramStart"/>
      <w:r w:rsidRPr="00490DCE">
        <w:rPr>
          <w:rFonts w:cs="Arial"/>
        </w:rPr>
        <w:t>the</w:t>
      </w:r>
      <w:proofErr w:type="gramEnd"/>
      <w:r w:rsidRPr="00490DCE">
        <w:rPr>
          <w:rFonts w:cs="Arial"/>
        </w:rPr>
        <w:t xml:space="preserve"> RIS demonstrates that the preferred option results in the greatest net benefit to </w:t>
      </w:r>
      <w:r w:rsidRPr="00490DCE">
        <w:rPr>
          <w:rFonts w:cs="Arial"/>
        </w:rPr>
        <w:br/>
        <w:t>the community.</w:t>
      </w:r>
    </w:p>
    <w:p w14:paraId="66230C10" w14:textId="77777777" w:rsidR="000A5CFA" w:rsidRPr="00490DCE" w:rsidRDefault="000A5CFA" w:rsidP="00E804F7">
      <w:pPr>
        <w:pStyle w:val="Heading3"/>
        <w:rPr>
          <w:rFonts w:cs="Arial"/>
        </w:rPr>
      </w:pPr>
      <w:r w:rsidRPr="00490DCE">
        <w:rPr>
          <w:rFonts w:cs="Arial"/>
        </w:rPr>
        <w:t>2.4 COAG compliance</w:t>
      </w:r>
    </w:p>
    <w:p w14:paraId="6992B1D4" w14:textId="77777777" w:rsidR="000A5CFA" w:rsidRPr="00490DCE" w:rsidRDefault="000A5CFA" w:rsidP="004854B5">
      <w:pPr>
        <w:rPr>
          <w:rFonts w:cs="Arial"/>
        </w:rPr>
      </w:pPr>
      <w:r w:rsidRPr="00490DCE">
        <w:rPr>
          <w:rFonts w:cs="Arial"/>
        </w:rPr>
        <w:t>Compliance with the COAG best practice regulation requirements is measured by compliance with the requirement to prepare and publish an adequate consultation RIS and a decision-making RIS.</w:t>
      </w:r>
    </w:p>
    <w:p w14:paraId="3BBD010F" w14:textId="77777777" w:rsidR="000A5CFA" w:rsidRPr="00490DCE" w:rsidRDefault="000A5CFA" w:rsidP="00E804F7">
      <w:pPr>
        <w:pStyle w:val="Heading4"/>
        <w:rPr>
          <w:rFonts w:cs="Arial"/>
        </w:rPr>
      </w:pPr>
      <w:r w:rsidRPr="00490DCE">
        <w:rPr>
          <w:rFonts w:cs="Arial"/>
        </w:rPr>
        <w:t>Aggregate compliance</w:t>
      </w:r>
    </w:p>
    <w:p w14:paraId="5CDE7DA1" w14:textId="77777777" w:rsidR="000A5CFA" w:rsidRPr="00490DCE" w:rsidRDefault="000A5CFA" w:rsidP="004854B5">
      <w:pPr>
        <w:rPr>
          <w:rFonts w:cs="Arial"/>
        </w:rPr>
      </w:pPr>
      <w:r w:rsidRPr="00490DCE">
        <w:rPr>
          <w:rFonts w:cs="Arial"/>
        </w:rPr>
        <w:t>The OBPR identified 14 proposals that required the preparation of a RIS under the COAG requirements in 2012–13 (see Chapter 4 for more detail).</w:t>
      </w:r>
    </w:p>
    <w:p w14:paraId="5E8679E1" w14:textId="77777777" w:rsidR="000A5CFA" w:rsidRPr="00490DCE" w:rsidRDefault="000A5CFA" w:rsidP="004854B5">
      <w:pPr>
        <w:rPr>
          <w:rFonts w:cs="Arial"/>
        </w:rPr>
      </w:pPr>
      <w:r w:rsidRPr="00490DCE">
        <w:rPr>
          <w:rFonts w:cs="Arial"/>
        </w:rPr>
        <w:t>Of the 14 proposals, 12 adequate RISs were prepared for both the consultation and decision-</w:t>
      </w:r>
      <w:r w:rsidRPr="00490DCE">
        <w:rPr>
          <w:rFonts w:cs="Arial"/>
        </w:rPr>
        <w:br/>
        <w:t xml:space="preserve">making stages, resulting in </w:t>
      </w:r>
      <w:proofErr w:type="gramStart"/>
      <w:r w:rsidRPr="00490DCE">
        <w:rPr>
          <w:rFonts w:cs="Arial"/>
        </w:rPr>
        <w:t>a compliance</w:t>
      </w:r>
      <w:proofErr w:type="gramEnd"/>
      <w:r w:rsidRPr="00490DCE">
        <w:rPr>
          <w:rFonts w:cs="Arial"/>
        </w:rPr>
        <w:t xml:space="preserve"> rate of 86 per cent – up from 81 per cent in 2011–12. At </w:t>
      </w:r>
      <w:r w:rsidRPr="00490DCE">
        <w:rPr>
          <w:rFonts w:cs="Arial"/>
        </w:rPr>
        <w:br/>
        <w:t xml:space="preserve">the consultation stage, there were 13 adequate RISs prepared, representing a compliance rate of </w:t>
      </w:r>
      <w:r w:rsidRPr="00490DCE">
        <w:rPr>
          <w:rFonts w:cs="Arial"/>
        </w:rPr>
        <w:br/>
        <w:t>93 per cent, an increase from 81 per cent in 2011–12. Further commentary is provided in Chapter 4.</w:t>
      </w:r>
    </w:p>
    <w:p w14:paraId="67FE9842" w14:textId="77777777" w:rsidR="000A5CFA" w:rsidRPr="00490DCE" w:rsidRDefault="000A5CFA">
      <w:pPr>
        <w:pStyle w:val="tabletitle"/>
        <w:rPr>
          <w:rFonts w:cs="Arial"/>
        </w:rPr>
      </w:pPr>
      <w:r w:rsidRPr="00490DCE">
        <w:rPr>
          <w:rFonts w:cs="Arial"/>
        </w:rPr>
        <w:t>Table 2.7: Compliance with the COAG RIS requirements, 2009–10 to 2012–13</w:t>
      </w:r>
    </w:p>
    <w:tbl>
      <w:tblPr>
        <w:tblStyle w:val="LightList"/>
        <w:tblW w:w="5000" w:type="pct"/>
        <w:tblLook w:val="0020" w:firstRow="1" w:lastRow="0" w:firstColumn="0" w:lastColumn="0" w:noHBand="0" w:noVBand="0"/>
        <w:tblDescription w:val="COAG RIS compliance"/>
      </w:tblPr>
      <w:tblGrid>
        <w:gridCol w:w="2584"/>
        <w:gridCol w:w="1117"/>
        <w:gridCol w:w="699"/>
        <w:gridCol w:w="1117"/>
        <w:gridCol w:w="699"/>
        <w:gridCol w:w="1117"/>
        <w:gridCol w:w="699"/>
        <w:gridCol w:w="1117"/>
        <w:gridCol w:w="699"/>
      </w:tblGrid>
      <w:tr w:rsidR="000A5CFA" w:rsidRPr="00490DCE" w14:paraId="74FD06FC"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312" w:type="pct"/>
          </w:tcPr>
          <w:p w14:paraId="2D240EEB"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Stage</w:t>
            </w:r>
          </w:p>
        </w:tc>
        <w:tc>
          <w:tcPr>
            <w:tcW w:w="567" w:type="pct"/>
          </w:tcPr>
          <w:p w14:paraId="5B5D1946"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2009–10</w:t>
            </w:r>
            <w:r w:rsidRPr="00490DCE">
              <w:rPr>
                <w:rStyle w:val="super"/>
                <w:rFonts w:cs="Arial"/>
                <w:color w:val="auto"/>
              </w:rPr>
              <w:br/>
            </w:r>
            <w:r w:rsidRPr="00490DCE">
              <w:rPr>
                <w:rStyle w:val="bold"/>
                <w:rFonts w:ascii="Arial" w:hAnsi="Arial" w:cs="Arial"/>
                <w:color w:val="auto"/>
              </w:rPr>
              <w:t xml:space="preserve">ratio  </w:t>
            </w:r>
          </w:p>
        </w:tc>
        <w:tc>
          <w:tcPr>
            <w:cnfStyle w:val="000010000000" w:firstRow="0" w:lastRow="0" w:firstColumn="0" w:lastColumn="0" w:oddVBand="1" w:evenVBand="0" w:oddHBand="0" w:evenHBand="0" w:firstRowFirstColumn="0" w:firstRowLastColumn="0" w:lastRowFirstColumn="0" w:lastRowLastColumn="0"/>
            <w:tcW w:w="355" w:type="pct"/>
          </w:tcPr>
          <w:p w14:paraId="1D9F6C59"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w:t>
            </w:r>
          </w:p>
        </w:tc>
        <w:tc>
          <w:tcPr>
            <w:tcW w:w="567" w:type="pct"/>
          </w:tcPr>
          <w:p w14:paraId="080C449D"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2010–11</w:t>
            </w:r>
            <w:r w:rsidRPr="00490DCE">
              <w:rPr>
                <w:rStyle w:val="bold"/>
                <w:rFonts w:ascii="Arial" w:hAnsi="Arial" w:cs="Arial"/>
                <w:color w:val="auto"/>
              </w:rPr>
              <w:br/>
              <w:t xml:space="preserve">ratio </w:t>
            </w:r>
          </w:p>
        </w:tc>
        <w:tc>
          <w:tcPr>
            <w:cnfStyle w:val="000010000000" w:firstRow="0" w:lastRow="0" w:firstColumn="0" w:lastColumn="0" w:oddVBand="1" w:evenVBand="0" w:oddHBand="0" w:evenHBand="0" w:firstRowFirstColumn="0" w:firstRowLastColumn="0" w:lastRowFirstColumn="0" w:lastRowLastColumn="0"/>
            <w:tcW w:w="355" w:type="pct"/>
          </w:tcPr>
          <w:p w14:paraId="59B0E9F0"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w:t>
            </w:r>
          </w:p>
        </w:tc>
        <w:tc>
          <w:tcPr>
            <w:tcW w:w="567" w:type="pct"/>
          </w:tcPr>
          <w:p w14:paraId="730B9126"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2011–12</w:t>
            </w:r>
            <w:r w:rsidRPr="00490DCE">
              <w:rPr>
                <w:rStyle w:val="bold"/>
                <w:rFonts w:ascii="Arial" w:hAnsi="Arial" w:cs="Arial"/>
                <w:color w:val="auto"/>
              </w:rPr>
              <w:br/>
              <w:t xml:space="preserve">ratio </w:t>
            </w:r>
          </w:p>
        </w:tc>
        <w:tc>
          <w:tcPr>
            <w:cnfStyle w:val="000010000000" w:firstRow="0" w:lastRow="0" w:firstColumn="0" w:lastColumn="0" w:oddVBand="1" w:evenVBand="0" w:oddHBand="0" w:evenHBand="0" w:firstRowFirstColumn="0" w:firstRowLastColumn="0" w:lastRowFirstColumn="0" w:lastRowLastColumn="0"/>
            <w:tcW w:w="355" w:type="pct"/>
          </w:tcPr>
          <w:p w14:paraId="1DCC4D67"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w:t>
            </w:r>
          </w:p>
        </w:tc>
        <w:tc>
          <w:tcPr>
            <w:tcW w:w="567" w:type="pct"/>
          </w:tcPr>
          <w:p w14:paraId="41C21FCA" w14:textId="77777777" w:rsidR="000A5CFA" w:rsidRPr="00490DCE" w:rsidRDefault="000A5CFA" w:rsidP="0019227F">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2012–13</w:t>
            </w:r>
            <w:r w:rsidRPr="00490DCE">
              <w:rPr>
                <w:rStyle w:val="bold"/>
                <w:rFonts w:ascii="Arial" w:hAnsi="Arial" w:cs="Arial"/>
                <w:color w:val="auto"/>
              </w:rPr>
              <w:br/>
              <w:t xml:space="preserve">ratio </w:t>
            </w:r>
          </w:p>
        </w:tc>
        <w:tc>
          <w:tcPr>
            <w:cnfStyle w:val="000010000000" w:firstRow="0" w:lastRow="0" w:firstColumn="0" w:lastColumn="0" w:oddVBand="1" w:evenVBand="0" w:oddHBand="0" w:evenHBand="0" w:firstRowFirstColumn="0" w:firstRowLastColumn="0" w:lastRowFirstColumn="0" w:lastRowLastColumn="0"/>
            <w:tcW w:w="355" w:type="pct"/>
          </w:tcPr>
          <w:p w14:paraId="4F4A6B23" w14:textId="77777777" w:rsidR="000A5CFA" w:rsidRPr="00490DCE" w:rsidRDefault="000A5CFA" w:rsidP="0019227F">
            <w:pPr>
              <w:pStyle w:val="tablehead"/>
              <w:jc w:val="right"/>
              <w:outlineLvl w:val="3"/>
              <w:rPr>
                <w:rFonts w:ascii="Arial" w:hAnsi="Arial" w:cs="Arial"/>
                <w:color w:val="auto"/>
              </w:rPr>
            </w:pPr>
            <w:r w:rsidRPr="00490DCE">
              <w:rPr>
                <w:rStyle w:val="bold"/>
                <w:rFonts w:ascii="Arial" w:hAnsi="Arial" w:cs="Arial"/>
                <w:color w:val="auto"/>
              </w:rPr>
              <w:t>%</w:t>
            </w:r>
          </w:p>
        </w:tc>
      </w:tr>
      <w:tr w:rsidR="000A5CFA" w:rsidRPr="00490DCE" w14:paraId="5D91F0FF" w14:textId="77777777" w:rsidTr="002C252F">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1312" w:type="pct"/>
          </w:tcPr>
          <w:p w14:paraId="2A01F99E" w14:textId="77777777" w:rsidR="000A5CFA" w:rsidRPr="00490DCE" w:rsidRDefault="000A5CFA">
            <w:pPr>
              <w:pStyle w:val="body"/>
              <w:rPr>
                <w:rFonts w:ascii="Arial" w:hAnsi="Arial" w:cs="Arial"/>
                <w:color w:val="auto"/>
              </w:rPr>
            </w:pPr>
            <w:r w:rsidRPr="00490DCE">
              <w:rPr>
                <w:rStyle w:val="bold"/>
                <w:rFonts w:ascii="Arial" w:hAnsi="Arial" w:cs="Arial"/>
                <w:color w:val="auto"/>
              </w:rPr>
              <w:t>Consultation stage</w:t>
            </w:r>
          </w:p>
        </w:tc>
        <w:tc>
          <w:tcPr>
            <w:tcW w:w="567" w:type="pct"/>
          </w:tcPr>
          <w:p w14:paraId="28D1F6D8"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 xml:space="preserve">29/41 </w:t>
            </w:r>
          </w:p>
        </w:tc>
        <w:tc>
          <w:tcPr>
            <w:cnfStyle w:val="000010000000" w:firstRow="0" w:lastRow="0" w:firstColumn="0" w:lastColumn="0" w:oddVBand="1" w:evenVBand="0" w:oddHBand="0" w:evenHBand="0" w:firstRowFirstColumn="0" w:firstRowLastColumn="0" w:lastRowFirstColumn="0" w:lastRowLastColumn="0"/>
            <w:tcW w:w="355" w:type="pct"/>
          </w:tcPr>
          <w:p w14:paraId="19F78B25" w14:textId="77777777" w:rsidR="000A5CFA" w:rsidRPr="00490DCE" w:rsidRDefault="000A5CFA">
            <w:pPr>
              <w:pStyle w:val="body"/>
              <w:jc w:val="right"/>
              <w:rPr>
                <w:rFonts w:ascii="Arial" w:hAnsi="Arial" w:cs="Arial"/>
                <w:color w:val="auto"/>
              </w:rPr>
            </w:pPr>
            <w:r w:rsidRPr="00490DCE">
              <w:rPr>
                <w:rFonts w:ascii="Arial" w:hAnsi="Arial" w:cs="Arial"/>
                <w:color w:val="auto"/>
              </w:rPr>
              <w:t>71</w:t>
            </w:r>
          </w:p>
        </w:tc>
        <w:tc>
          <w:tcPr>
            <w:tcW w:w="567" w:type="pct"/>
          </w:tcPr>
          <w:p w14:paraId="48A1D9A4"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 xml:space="preserve">8/9 </w:t>
            </w:r>
          </w:p>
        </w:tc>
        <w:tc>
          <w:tcPr>
            <w:cnfStyle w:val="000010000000" w:firstRow="0" w:lastRow="0" w:firstColumn="0" w:lastColumn="0" w:oddVBand="1" w:evenVBand="0" w:oddHBand="0" w:evenHBand="0" w:firstRowFirstColumn="0" w:firstRowLastColumn="0" w:lastRowFirstColumn="0" w:lastRowLastColumn="0"/>
            <w:tcW w:w="355" w:type="pct"/>
          </w:tcPr>
          <w:p w14:paraId="04274232" w14:textId="77777777" w:rsidR="000A5CFA" w:rsidRPr="00490DCE" w:rsidRDefault="000A5CFA">
            <w:pPr>
              <w:pStyle w:val="body"/>
              <w:jc w:val="right"/>
              <w:rPr>
                <w:rFonts w:ascii="Arial" w:hAnsi="Arial" w:cs="Arial"/>
                <w:color w:val="auto"/>
              </w:rPr>
            </w:pPr>
            <w:r w:rsidRPr="00490DCE">
              <w:rPr>
                <w:rFonts w:ascii="Arial" w:hAnsi="Arial" w:cs="Arial"/>
                <w:color w:val="auto"/>
              </w:rPr>
              <w:t>89</w:t>
            </w:r>
          </w:p>
        </w:tc>
        <w:tc>
          <w:tcPr>
            <w:tcW w:w="567" w:type="pct"/>
          </w:tcPr>
          <w:p w14:paraId="712334EE"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 xml:space="preserve">13/16 </w:t>
            </w:r>
          </w:p>
        </w:tc>
        <w:tc>
          <w:tcPr>
            <w:cnfStyle w:val="000010000000" w:firstRow="0" w:lastRow="0" w:firstColumn="0" w:lastColumn="0" w:oddVBand="1" w:evenVBand="0" w:oddHBand="0" w:evenHBand="0" w:firstRowFirstColumn="0" w:firstRowLastColumn="0" w:lastRowFirstColumn="0" w:lastRowLastColumn="0"/>
            <w:tcW w:w="355" w:type="pct"/>
          </w:tcPr>
          <w:p w14:paraId="6EB27436" w14:textId="77777777" w:rsidR="000A5CFA" w:rsidRPr="00490DCE" w:rsidRDefault="000A5CFA">
            <w:pPr>
              <w:pStyle w:val="body"/>
              <w:jc w:val="right"/>
              <w:rPr>
                <w:rFonts w:ascii="Arial" w:hAnsi="Arial" w:cs="Arial"/>
                <w:color w:val="auto"/>
              </w:rPr>
            </w:pPr>
            <w:r w:rsidRPr="00490DCE">
              <w:rPr>
                <w:rFonts w:ascii="Arial" w:hAnsi="Arial" w:cs="Arial"/>
                <w:color w:val="auto"/>
              </w:rPr>
              <w:t>81</w:t>
            </w:r>
          </w:p>
        </w:tc>
        <w:tc>
          <w:tcPr>
            <w:tcW w:w="567" w:type="pct"/>
          </w:tcPr>
          <w:p w14:paraId="4F212F3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spacing w:val="-2"/>
              </w:rPr>
              <w:t xml:space="preserve">13/14 </w:t>
            </w:r>
          </w:p>
        </w:tc>
        <w:tc>
          <w:tcPr>
            <w:cnfStyle w:val="000010000000" w:firstRow="0" w:lastRow="0" w:firstColumn="0" w:lastColumn="0" w:oddVBand="1" w:evenVBand="0" w:oddHBand="0" w:evenHBand="0" w:firstRowFirstColumn="0" w:firstRowLastColumn="0" w:lastRowFirstColumn="0" w:lastRowLastColumn="0"/>
            <w:tcW w:w="355" w:type="pct"/>
          </w:tcPr>
          <w:p w14:paraId="471DCEC3" w14:textId="77777777" w:rsidR="000A5CFA" w:rsidRPr="00490DCE" w:rsidRDefault="000A5CFA">
            <w:pPr>
              <w:pStyle w:val="body"/>
              <w:jc w:val="right"/>
              <w:rPr>
                <w:rFonts w:ascii="Arial" w:hAnsi="Arial" w:cs="Arial"/>
                <w:color w:val="auto"/>
              </w:rPr>
            </w:pPr>
            <w:r w:rsidRPr="00490DCE">
              <w:rPr>
                <w:rFonts w:ascii="Arial" w:hAnsi="Arial" w:cs="Arial"/>
                <w:color w:val="auto"/>
                <w:spacing w:val="-2"/>
              </w:rPr>
              <w:t>93</w:t>
            </w:r>
          </w:p>
        </w:tc>
      </w:tr>
      <w:tr w:rsidR="000A5CFA" w:rsidRPr="00490DCE" w14:paraId="45EC7BE3" w14:textId="77777777" w:rsidTr="002C252F">
        <w:trPr>
          <w:trHeight w:val="330"/>
        </w:trPr>
        <w:tc>
          <w:tcPr>
            <w:cnfStyle w:val="000010000000" w:firstRow="0" w:lastRow="0" w:firstColumn="0" w:lastColumn="0" w:oddVBand="1" w:evenVBand="0" w:oddHBand="0" w:evenHBand="0" w:firstRowFirstColumn="0" w:firstRowLastColumn="0" w:lastRowFirstColumn="0" w:lastRowLastColumn="0"/>
            <w:tcW w:w="1312" w:type="pct"/>
          </w:tcPr>
          <w:p w14:paraId="42D73E87" w14:textId="77777777" w:rsidR="000A5CFA" w:rsidRPr="00490DCE" w:rsidRDefault="000A5CFA">
            <w:pPr>
              <w:pStyle w:val="body"/>
              <w:rPr>
                <w:rFonts w:ascii="Arial" w:hAnsi="Arial" w:cs="Arial"/>
                <w:color w:val="auto"/>
              </w:rPr>
            </w:pPr>
            <w:r w:rsidRPr="00490DCE">
              <w:rPr>
                <w:rStyle w:val="bold"/>
                <w:rFonts w:ascii="Arial" w:hAnsi="Arial" w:cs="Arial"/>
                <w:color w:val="auto"/>
                <w:spacing w:val="-4"/>
              </w:rPr>
              <w:t>Decision-making stage</w:t>
            </w:r>
          </w:p>
        </w:tc>
        <w:tc>
          <w:tcPr>
            <w:tcW w:w="567" w:type="pct"/>
          </w:tcPr>
          <w:p w14:paraId="56869D5B"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32/41 </w:t>
            </w:r>
          </w:p>
        </w:tc>
        <w:tc>
          <w:tcPr>
            <w:cnfStyle w:val="000010000000" w:firstRow="0" w:lastRow="0" w:firstColumn="0" w:lastColumn="0" w:oddVBand="1" w:evenVBand="0" w:oddHBand="0" w:evenHBand="0" w:firstRowFirstColumn="0" w:firstRowLastColumn="0" w:lastRowFirstColumn="0" w:lastRowLastColumn="0"/>
            <w:tcW w:w="355" w:type="pct"/>
          </w:tcPr>
          <w:p w14:paraId="054F7D82" w14:textId="77777777" w:rsidR="000A5CFA" w:rsidRPr="00490DCE" w:rsidRDefault="000A5CFA">
            <w:pPr>
              <w:pStyle w:val="body"/>
              <w:jc w:val="right"/>
              <w:rPr>
                <w:rFonts w:ascii="Arial" w:hAnsi="Arial" w:cs="Arial"/>
                <w:color w:val="auto"/>
              </w:rPr>
            </w:pPr>
            <w:r w:rsidRPr="00490DCE">
              <w:rPr>
                <w:rFonts w:ascii="Arial" w:hAnsi="Arial" w:cs="Arial"/>
                <w:color w:val="auto"/>
              </w:rPr>
              <w:t>78</w:t>
            </w:r>
          </w:p>
        </w:tc>
        <w:tc>
          <w:tcPr>
            <w:tcW w:w="567" w:type="pct"/>
          </w:tcPr>
          <w:p w14:paraId="558EA8B6"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9/10</w:t>
            </w:r>
          </w:p>
        </w:tc>
        <w:tc>
          <w:tcPr>
            <w:cnfStyle w:val="000010000000" w:firstRow="0" w:lastRow="0" w:firstColumn="0" w:lastColumn="0" w:oddVBand="1" w:evenVBand="0" w:oddHBand="0" w:evenHBand="0" w:firstRowFirstColumn="0" w:firstRowLastColumn="0" w:lastRowFirstColumn="0" w:lastRowLastColumn="0"/>
            <w:tcW w:w="355" w:type="pct"/>
          </w:tcPr>
          <w:p w14:paraId="5CEB28B4" w14:textId="77777777" w:rsidR="000A5CFA" w:rsidRPr="00490DCE" w:rsidRDefault="000A5CFA">
            <w:pPr>
              <w:pStyle w:val="body"/>
              <w:jc w:val="right"/>
              <w:rPr>
                <w:rFonts w:ascii="Arial" w:hAnsi="Arial" w:cs="Arial"/>
                <w:color w:val="auto"/>
              </w:rPr>
            </w:pPr>
            <w:r w:rsidRPr="00490DCE">
              <w:rPr>
                <w:rFonts w:ascii="Arial" w:hAnsi="Arial" w:cs="Arial"/>
                <w:color w:val="auto"/>
              </w:rPr>
              <w:t>90</w:t>
            </w:r>
          </w:p>
        </w:tc>
        <w:tc>
          <w:tcPr>
            <w:tcW w:w="567" w:type="pct"/>
          </w:tcPr>
          <w:p w14:paraId="44857262"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13/16 </w:t>
            </w:r>
          </w:p>
        </w:tc>
        <w:tc>
          <w:tcPr>
            <w:cnfStyle w:val="000010000000" w:firstRow="0" w:lastRow="0" w:firstColumn="0" w:lastColumn="0" w:oddVBand="1" w:evenVBand="0" w:oddHBand="0" w:evenHBand="0" w:firstRowFirstColumn="0" w:firstRowLastColumn="0" w:lastRowFirstColumn="0" w:lastRowLastColumn="0"/>
            <w:tcW w:w="355" w:type="pct"/>
          </w:tcPr>
          <w:p w14:paraId="4E81F025" w14:textId="77777777" w:rsidR="000A5CFA" w:rsidRPr="00490DCE" w:rsidRDefault="000A5CFA">
            <w:pPr>
              <w:pStyle w:val="body"/>
              <w:jc w:val="right"/>
              <w:rPr>
                <w:rFonts w:ascii="Arial" w:hAnsi="Arial" w:cs="Arial"/>
                <w:color w:val="auto"/>
              </w:rPr>
            </w:pPr>
            <w:r w:rsidRPr="00490DCE">
              <w:rPr>
                <w:rFonts w:ascii="Arial" w:hAnsi="Arial" w:cs="Arial"/>
                <w:color w:val="auto"/>
              </w:rPr>
              <w:t>81</w:t>
            </w:r>
          </w:p>
        </w:tc>
        <w:tc>
          <w:tcPr>
            <w:tcW w:w="567" w:type="pct"/>
          </w:tcPr>
          <w:p w14:paraId="69E68D69"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spacing w:val="-2"/>
              </w:rPr>
              <w:t xml:space="preserve">12/14 </w:t>
            </w:r>
          </w:p>
        </w:tc>
        <w:tc>
          <w:tcPr>
            <w:cnfStyle w:val="000010000000" w:firstRow="0" w:lastRow="0" w:firstColumn="0" w:lastColumn="0" w:oddVBand="1" w:evenVBand="0" w:oddHBand="0" w:evenHBand="0" w:firstRowFirstColumn="0" w:firstRowLastColumn="0" w:lastRowFirstColumn="0" w:lastRowLastColumn="0"/>
            <w:tcW w:w="355" w:type="pct"/>
          </w:tcPr>
          <w:p w14:paraId="4CCBEA68" w14:textId="77777777" w:rsidR="000A5CFA" w:rsidRPr="00490DCE" w:rsidRDefault="000A5CFA">
            <w:pPr>
              <w:pStyle w:val="body"/>
              <w:jc w:val="right"/>
              <w:rPr>
                <w:rFonts w:ascii="Arial" w:hAnsi="Arial" w:cs="Arial"/>
                <w:color w:val="auto"/>
              </w:rPr>
            </w:pPr>
            <w:r w:rsidRPr="00490DCE">
              <w:rPr>
                <w:rFonts w:ascii="Arial" w:hAnsi="Arial" w:cs="Arial"/>
                <w:color w:val="auto"/>
                <w:spacing w:val="-2"/>
              </w:rPr>
              <w:t>86</w:t>
            </w:r>
          </w:p>
        </w:tc>
      </w:tr>
    </w:tbl>
    <w:p w14:paraId="1C5980B8" w14:textId="77777777" w:rsidR="000A5CFA" w:rsidRPr="00490DCE" w:rsidRDefault="000A5CFA">
      <w:pPr>
        <w:pStyle w:val="body"/>
        <w:rPr>
          <w:rFonts w:ascii="Arial" w:hAnsi="Arial" w:cs="Arial"/>
          <w:color w:val="auto"/>
          <w:spacing w:val="-4"/>
          <w:lang w:val="en-US"/>
        </w:rPr>
      </w:pPr>
    </w:p>
    <w:p w14:paraId="30ABD0BC" w14:textId="77777777" w:rsidR="000A5CFA" w:rsidRPr="00490DCE" w:rsidRDefault="000A5CFA" w:rsidP="00E804F7">
      <w:pPr>
        <w:pStyle w:val="Heading4"/>
        <w:rPr>
          <w:rFonts w:cs="Arial"/>
        </w:rPr>
      </w:pPr>
      <w:r w:rsidRPr="00490DCE">
        <w:rPr>
          <w:rFonts w:cs="Arial"/>
        </w:rPr>
        <w:t>Non-compliance</w:t>
      </w:r>
    </w:p>
    <w:p w14:paraId="4A73977C" w14:textId="77777777" w:rsidR="000A5CFA" w:rsidRPr="00490DCE" w:rsidRDefault="000A5CFA" w:rsidP="004854B5">
      <w:pPr>
        <w:rPr>
          <w:rFonts w:cs="Arial"/>
        </w:rPr>
      </w:pPr>
      <w:r w:rsidRPr="00490DCE">
        <w:rPr>
          <w:rFonts w:cs="Arial"/>
        </w:rPr>
        <w:t>COAG’s best practice regulation requirements were not met in two cases in 2012–13. One regulatory decision was non-compliant at both the consultation stage and at the decision-making stage, while the other was compliant at the consultation stage but non-compliant at the decision-making stage. However, for this second instance of non-compliance a decision RIS was redrafted and assessed as adequate by the OBPR after the decision-making stage and was subsequently published in the interest of transparency. Table 2.8 provides further details of these regulatory decisions.</w:t>
      </w:r>
    </w:p>
    <w:p w14:paraId="4F874C0F" w14:textId="77777777" w:rsidR="000A5CFA" w:rsidRPr="00490DCE" w:rsidRDefault="000A5CFA">
      <w:pPr>
        <w:pStyle w:val="tabletitle"/>
        <w:rPr>
          <w:rFonts w:cs="Arial"/>
        </w:rPr>
      </w:pPr>
      <w:r w:rsidRPr="00490DCE">
        <w:rPr>
          <w:rFonts w:cs="Arial"/>
        </w:rPr>
        <w:t>Table 2.8: COAG non-compliant decisions in 2012–13</w:t>
      </w:r>
    </w:p>
    <w:tbl>
      <w:tblPr>
        <w:tblStyle w:val="LightList"/>
        <w:tblW w:w="5000" w:type="pct"/>
        <w:tblLook w:val="0020" w:firstRow="1" w:lastRow="0" w:firstColumn="0" w:lastColumn="0" w:noHBand="0" w:noVBand="0"/>
        <w:tblDescription w:val="Non-compliant COAG decisions 2012-13"/>
      </w:tblPr>
      <w:tblGrid>
        <w:gridCol w:w="1642"/>
        <w:gridCol w:w="2074"/>
        <w:gridCol w:w="1532"/>
        <w:gridCol w:w="1534"/>
        <w:gridCol w:w="1532"/>
        <w:gridCol w:w="1534"/>
      </w:tblGrid>
      <w:tr w:rsidR="000A5CFA" w:rsidRPr="00490DCE" w14:paraId="6D1CE0CB" w14:textId="77777777" w:rsidTr="007425EA">
        <w:trPr>
          <w:cnfStyle w:val="100000000000" w:firstRow="1" w:lastRow="0" w:firstColumn="0" w:lastColumn="0" w:oddVBand="0" w:evenVBand="0" w:oddHBand="0" w:evenHBand="0" w:firstRowFirstColumn="0" w:firstRowLastColumn="0" w:lastRowFirstColumn="0" w:lastRowLastColumn="0"/>
          <w:trHeight w:val="401"/>
          <w:tblHeader/>
        </w:trPr>
        <w:tc>
          <w:tcPr>
            <w:cnfStyle w:val="000010000000" w:firstRow="0" w:lastRow="0" w:firstColumn="0" w:lastColumn="0" w:oddVBand="1" w:evenVBand="0" w:oddHBand="0" w:evenHBand="0" w:firstRowFirstColumn="0" w:firstRowLastColumn="0" w:lastRowFirstColumn="0" w:lastRowLastColumn="0"/>
            <w:tcW w:w="833" w:type="pct"/>
          </w:tcPr>
          <w:p w14:paraId="147DB764"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Regulatory decision</w:t>
            </w:r>
          </w:p>
        </w:tc>
        <w:tc>
          <w:tcPr>
            <w:tcW w:w="1053" w:type="pct"/>
          </w:tcPr>
          <w:p w14:paraId="35F125EF" w14:textId="77777777" w:rsidR="000A5CFA" w:rsidRPr="00490DC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COAG Council</w:t>
            </w:r>
          </w:p>
        </w:tc>
        <w:tc>
          <w:tcPr>
            <w:cnfStyle w:val="000010000000" w:firstRow="0" w:lastRow="0" w:firstColumn="0" w:lastColumn="0" w:oddVBand="1" w:evenVBand="0" w:oddHBand="0" w:evenHBand="0" w:firstRowFirstColumn="0" w:firstRowLastColumn="0" w:lastRowFirstColumn="0" w:lastRowLastColumn="0"/>
            <w:tcW w:w="778" w:type="pct"/>
          </w:tcPr>
          <w:p w14:paraId="7F491AE9" w14:textId="77777777" w:rsidR="000A5CFA" w:rsidRPr="00490DCE" w:rsidRDefault="000A5CFA" w:rsidP="0019227F">
            <w:pPr>
              <w:pStyle w:val="tablehead"/>
              <w:jc w:val="center"/>
              <w:outlineLvl w:val="3"/>
              <w:rPr>
                <w:rFonts w:ascii="Arial" w:hAnsi="Arial" w:cs="Arial"/>
                <w:color w:val="auto"/>
              </w:rPr>
            </w:pPr>
            <w:r w:rsidRPr="00490DCE">
              <w:rPr>
                <w:rStyle w:val="bold"/>
                <w:rFonts w:ascii="Arial" w:hAnsi="Arial" w:cs="Arial"/>
                <w:color w:val="auto"/>
              </w:rPr>
              <w:t>Date of decision</w:t>
            </w:r>
          </w:p>
        </w:tc>
        <w:tc>
          <w:tcPr>
            <w:tcW w:w="779" w:type="pct"/>
          </w:tcPr>
          <w:p w14:paraId="329A5BB9" w14:textId="77777777" w:rsidR="000A5CFA" w:rsidRPr="00490DC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78" w:type="pct"/>
          </w:tcPr>
          <w:p w14:paraId="66BDA471" w14:textId="77777777" w:rsidR="000A5CFA" w:rsidRPr="00490DCE" w:rsidRDefault="000A5CFA" w:rsidP="0019227F">
            <w:pPr>
              <w:pStyle w:val="tablehead"/>
              <w:jc w:val="center"/>
              <w:outlineLvl w:val="3"/>
              <w:rPr>
                <w:rFonts w:ascii="Arial" w:hAnsi="Arial" w:cs="Arial"/>
                <w:color w:val="auto"/>
              </w:rPr>
            </w:pPr>
            <w:r w:rsidRPr="00490DCE">
              <w:rPr>
                <w:rStyle w:val="bold"/>
                <w:rFonts w:ascii="Arial" w:hAnsi="Arial" w:cs="Arial"/>
                <w:color w:val="auto"/>
              </w:rPr>
              <w:t>Compliant at decision</w:t>
            </w:r>
          </w:p>
        </w:tc>
        <w:tc>
          <w:tcPr>
            <w:tcW w:w="779" w:type="pct"/>
          </w:tcPr>
          <w:p w14:paraId="145A73E5" w14:textId="77777777" w:rsidR="000A5CFA" w:rsidRPr="00490DC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Final RIS published</w:t>
            </w:r>
          </w:p>
        </w:tc>
      </w:tr>
      <w:tr w:rsidR="000A5CFA" w:rsidRPr="00490DCE" w14:paraId="06346D83" w14:textId="77777777" w:rsidTr="002C252F">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833" w:type="pct"/>
          </w:tcPr>
          <w:p w14:paraId="07E8CC54" w14:textId="77777777" w:rsidR="000A5CFA" w:rsidRPr="00490DCE" w:rsidRDefault="000A5CFA">
            <w:pPr>
              <w:pStyle w:val="body"/>
              <w:rPr>
                <w:rFonts w:ascii="Arial" w:hAnsi="Arial" w:cs="Arial"/>
                <w:color w:val="auto"/>
              </w:rPr>
            </w:pPr>
            <w:r w:rsidRPr="00490DCE">
              <w:rPr>
                <w:rFonts w:ascii="Arial" w:hAnsi="Arial" w:cs="Arial"/>
                <w:color w:val="auto"/>
              </w:rPr>
              <w:t>Electronic Conveyancing National Law</w:t>
            </w:r>
          </w:p>
        </w:tc>
        <w:tc>
          <w:tcPr>
            <w:tcW w:w="1053" w:type="pct"/>
          </w:tcPr>
          <w:p w14:paraId="08F35A4E" w14:textId="77777777" w:rsidR="000A5CFA" w:rsidRPr="00490DCE" w:rsidRDefault="000A5CFA">
            <w:pPr>
              <w:pStyle w:val="body"/>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Australian Registrars’ National Electronic Conveyancing Council</w:t>
            </w:r>
          </w:p>
        </w:tc>
        <w:tc>
          <w:tcPr>
            <w:cnfStyle w:val="000010000000" w:firstRow="0" w:lastRow="0" w:firstColumn="0" w:lastColumn="0" w:oddVBand="1" w:evenVBand="0" w:oddHBand="0" w:evenHBand="0" w:firstRowFirstColumn="0" w:firstRowLastColumn="0" w:lastRowFirstColumn="0" w:lastRowLastColumn="0"/>
            <w:tcW w:w="778" w:type="pct"/>
          </w:tcPr>
          <w:p w14:paraId="7ADC271E" w14:textId="77777777" w:rsidR="000A5CFA" w:rsidRPr="00490DCE" w:rsidRDefault="000A5CFA">
            <w:pPr>
              <w:pStyle w:val="body"/>
              <w:jc w:val="center"/>
              <w:rPr>
                <w:rFonts w:ascii="Arial" w:hAnsi="Arial" w:cs="Arial"/>
                <w:color w:val="auto"/>
              </w:rPr>
            </w:pPr>
            <w:r w:rsidRPr="00490DCE">
              <w:rPr>
                <w:rFonts w:ascii="Arial" w:hAnsi="Arial" w:cs="Arial"/>
                <w:color w:val="auto"/>
              </w:rPr>
              <w:t>17 October 2012</w:t>
            </w:r>
          </w:p>
        </w:tc>
        <w:tc>
          <w:tcPr>
            <w:tcW w:w="779" w:type="pct"/>
          </w:tcPr>
          <w:p w14:paraId="6AD5A05C"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78" w:type="pct"/>
          </w:tcPr>
          <w:p w14:paraId="2075CA02"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779" w:type="pct"/>
          </w:tcPr>
          <w:p w14:paraId="61D36772"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r w:rsidR="000A5CFA" w:rsidRPr="00490DCE" w14:paraId="68523CF9" w14:textId="77777777" w:rsidTr="002C252F">
        <w:trPr>
          <w:trHeight w:val="60"/>
        </w:trPr>
        <w:tc>
          <w:tcPr>
            <w:cnfStyle w:val="000010000000" w:firstRow="0" w:lastRow="0" w:firstColumn="0" w:lastColumn="0" w:oddVBand="1" w:evenVBand="0" w:oddHBand="0" w:evenHBand="0" w:firstRowFirstColumn="0" w:firstRowLastColumn="0" w:lastRowFirstColumn="0" w:lastRowLastColumn="0"/>
            <w:tcW w:w="833" w:type="pct"/>
          </w:tcPr>
          <w:p w14:paraId="245A000D" w14:textId="77777777" w:rsidR="000A5CFA" w:rsidRPr="00490DCE" w:rsidRDefault="000A5CFA">
            <w:pPr>
              <w:pStyle w:val="body"/>
              <w:rPr>
                <w:rFonts w:ascii="Arial" w:hAnsi="Arial" w:cs="Arial"/>
                <w:color w:val="auto"/>
              </w:rPr>
            </w:pPr>
            <w:r w:rsidRPr="00490DCE">
              <w:rPr>
                <w:rFonts w:ascii="Arial" w:hAnsi="Arial" w:cs="Arial"/>
                <w:color w:val="auto"/>
              </w:rPr>
              <w:t>Front-of-Pack Nutrition Labelling</w:t>
            </w:r>
          </w:p>
        </w:tc>
        <w:tc>
          <w:tcPr>
            <w:tcW w:w="1053" w:type="pct"/>
          </w:tcPr>
          <w:p w14:paraId="2BC0B4D0"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Legislative and Governance Forum on Food Regulation</w:t>
            </w:r>
          </w:p>
        </w:tc>
        <w:tc>
          <w:tcPr>
            <w:cnfStyle w:val="000010000000" w:firstRow="0" w:lastRow="0" w:firstColumn="0" w:lastColumn="0" w:oddVBand="1" w:evenVBand="0" w:oddHBand="0" w:evenHBand="0" w:firstRowFirstColumn="0" w:firstRowLastColumn="0" w:lastRowFirstColumn="0" w:lastRowLastColumn="0"/>
            <w:tcW w:w="778" w:type="pct"/>
          </w:tcPr>
          <w:p w14:paraId="1AE54AFC" w14:textId="77777777" w:rsidR="000A5CFA" w:rsidRPr="00490DCE" w:rsidRDefault="000A5CFA">
            <w:pPr>
              <w:pStyle w:val="body"/>
              <w:jc w:val="center"/>
              <w:rPr>
                <w:rFonts w:ascii="Arial" w:hAnsi="Arial" w:cs="Arial"/>
                <w:color w:val="auto"/>
              </w:rPr>
            </w:pPr>
            <w:r w:rsidRPr="00490DCE">
              <w:rPr>
                <w:rFonts w:ascii="Arial" w:hAnsi="Arial" w:cs="Arial"/>
                <w:color w:val="auto"/>
              </w:rPr>
              <w:t>14 June 2013</w:t>
            </w:r>
          </w:p>
        </w:tc>
        <w:tc>
          <w:tcPr>
            <w:tcW w:w="779" w:type="pct"/>
          </w:tcPr>
          <w:p w14:paraId="697A5A9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c>
          <w:tcPr>
            <w:cnfStyle w:val="000010000000" w:firstRow="0" w:lastRow="0" w:firstColumn="0" w:lastColumn="0" w:oddVBand="1" w:evenVBand="0" w:oddHBand="0" w:evenHBand="0" w:firstRowFirstColumn="0" w:firstRowLastColumn="0" w:lastRowFirstColumn="0" w:lastRowLastColumn="0"/>
            <w:tcW w:w="778" w:type="pct"/>
          </w:tcPr>
          <w:p w14:paraId="15F26A2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779" w:type="pct"/>
          </w:tcPr>
          <w:p w14:paraId="0FDE904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r>
    </w:tbl>
    <w:p w14:paraId="35FA1159" w14:textId="77777777" w:rsidR="000A5CFA" w:rsidRPr="00490DCE" w:rsidRDefault="000A5CFA">
      <w:pPr>
        <w:pStyle w:val="NoParagraphStyle"/>
        <w:suppressAutoHyphens/>
        <w:rPr>
          <w:rFonts w:ascii="Arial" w:hAnsi="Arial" w:cs="Arial"/>
          <w:color w:val="auto"/>
          <w:spacing w:val="-10"/>
          <w:sz w:val="48"/>
          <w:szCs w:val="48"/>
          <w:lang w:val="en-AU"/>
        </w:rPr>
      </w:pPr>
    </w:p>
    <w:p w14:paraId="55784498" w14:textId="77777777" w:rsidR="000A5CFA" w:rsidRPr="00490DCE" w:rsidRDefault="000A5CFA">
      <w:pPr>
        <w:pStyle w:val="body"/>
        <w:rPr>
          <w:rFonts w:ascii="Arial" w:hAnsi="Arial" w:cs="Arial"/>
          <w:color w:val="auto"/>
        </w:rPr>
      </w:pPr>
    </w:p>
    <w:p w14:paraId="01EC5D14"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3. Australian Government Compliance by Portfolio</w:t>
      </w:r>
    </w:p>
    <w:p w14:paraId="63BB8448" w14:textId="77777777" w:rsidR="000A5CFA" w:rsidRPr="00490DCE" w:rsidRDefault="000A5CFA" w:rsidP="004854B5">
      <w:pPr>
        <w:rPr>
          <w:rFonts w:cs="Arial"/>
        </w:rPr>
      </w:pPr>
      <w:r w:rsidRPr="00490DCE">
        <w:rPr>
          <w:rFonts w:cs="Arial"/>
        </w:rPr>
        <w:t>Compliance with the Australian Government’s best practice regulation requirements for proposals announced during 2012–13 is reported by portfolio in this chapter.</w:t>
      </w:r>
    </w:p>
    <w:p w14:paraId="2BCEAAF5" w14:textId="77777777" w:rsidR="000A5CFA" w:rsidRPr="00490DCE" w:rsidRDefault="000A5CFA" w:rsidP="004854B5">
      <w:pPr>
        <w:rPr>
          <w:rFonts w:cs="Arial"/>
        </w:rPr>
      </w:pPr>
      <w:r w:rsidRPr="00490DCE">
        <w:rPr>
          <w:rFonts w:cs="Arial"/>
        </w:rPr>
        <w:t xml:space="preserve">In 2012–13, nineteen departments or agencies were required to prepare RISs. Of these, sixteen complied with the requirements and three did not comply in full. </w:t>
      </w:r>
    </w:p>
    <w:p w14:paraId="32813998" w14:textId="77777777" w:rsidR="000A5CFA" w:rsidRPr="00490DCE" w:rsidRDefault="000A5CFA" w:rsidP="004854B5">
      <w:pPr>
        <w:rPr>
          <w:rFonts w:cs="Arial"/>
        </w:rPr>
      </w:pPr>
      <w:r w:rsidRPr="00490DCE">
        <w:rPr>
          <w:rFonts w:cs="Arial"/>
        </w:rPr>
        <w:t xml:space="preserve">The OBPR conducts comprehensive compliance checking whereby all regulatory proposals that have been announced, made or tabled (via </w:t>
      </w:r>
      <w:proofErr w:type="spellStart"/>
      <w:r w:rsidRPr="00490DCE">
        <w:rPr>
          <w:rFonts w:cs="Arial"/>
        </w:rPr>
        <w:t>ComLaw</w:t>
      </w:r>
      <w:proofErr w:type="spellEnd"/>
      <w:r w:rsidRPr="00490DCE">
        <w:rPr>
          <w:rFonts w:cs="Arial"/>
        </w:rPr>
        <w:t xml:space="preserve"> or agency websites) are examined to ensure that regulation-making requirements were met. Departments and agencies assisted the OBPR with this process by providing information twice yearly on their compliance with the requirements. Departments and agencies are invited to comment on the OBPR’s assessment of their compliance results prior to the results being published in this report.</w:t>
      </w:r>
    </w:p>
    <w:p w14:paraId="228B45BA" w14:textId="77777777" w:rsidR="000A5CFA" w:rsidRPr="00490DCE" w:rsidRDefault="000A5CFA" w:rsidP="004854B5">
      <w:pPr>
        <w:rPr>
          <w:rFonts w:cs="Arial"/>
        </w:rPr>
      </w:pPr>
      <w:r w:rsidRPr="00490DCE">
        <w:rPr>
          <w:rFonts w:cs="Arial"/>
        </w:rPr>
        <w:t>As noted earlier, a RIS is mandatory for all decisions by the Australian Government and its agencies that are likely to have a regulatory impact on business or the not-for-profit sector, unless that impact is minor or machinery in nature and does not substantially alter existing arrangements. The OBPR’s compliance assessment and the RIS are published on the OBPR website as soon as practicable after the announcement. Where a RIS involves new or amended legislation, the RIS is also required to be tabled with the explanatory material in the Parliament.</w:t>
      </w:r>
    </w:p>
    <w:p w14:paraId="53FEAB50" w14:textId="77777777" w:rsidR="000A5CFA" w:rsidRPr="00490DCE" w:rsidRDefault="000A5CFA" w:rsidP="004854B5">
      <w:pPr>
        <w:rPr>
          <w:rFonts w:cs="Arial"/>
        </w:rPr>
      </w:pPr>
      <w:r w:rsidRPr="00490DCE">
        <w:rPr>
          <w:rFonts w:cs="Arial"/>
        </w:rPr>
        <w:t>Compliance with the requirements at the decision-making stage for each department and agency is illustrated in Table 3.1. Detailed compliance results by department and agency follows. Further details on any of the listed regulatory decisions can be obtained from the OBPR website.</w:t>
      </w:r>
    </w:p>
    <w:p w14:paraId="6BFF057C" w14:textId="38D50D6B" w:rsidR="000A5CFA" w:rsidRPr="00490DCE" w:rsidRDefault="000A5CFA">
      <w:pPr>
        <w:pStyle w:val="tabletitle"/>
        <w:rPr>
          <w:rFonts w:cs="Arial"/>
        </w:rPr>
      </w:pPr>
      <w:r w:rsidRPr="00490DCE">
        <w:rPr>
          <w:rFonts w:cs="Arial"/>
        </w:rPr>
        <w:t>Table 3.1: Regulatory Impact Analysis compliance by department or agency 2012–13 (decision</w:t>
      </w:r>
      <w:r w:rsidR="00F43F6A">
        <w:rPr>
          <w:rFonts w:ascii="American Typewriter Light" w:hAnsi="American Typewriter Light" w:cs="American Typewriter Light"/>
        </w:rPr>
        <w:t>-</w:t>
      </w:r>
      <w:r w:rsidRPr="00490DCE">
        <w:rPr>
          <w:rFonts w:cs="Arial"/>
        </w:rPr>
        <w:t>making stage)</w:t>
      </w:r>
    </w:p>
    <w:tbl>
      <w:tblPr>
        <w:tblStyle w:val="LightList"/>
        <w:tblW w:w="5000" w:type="pct"/>
        <w:tblLook w:val="0020" w:firstRow="1" w:lastRow="0" w:firstColumn="0" w:lastColumn="0" w:noHBand="0" w:noVBand="0"/>
        <w:tblDescription w:val="RIS compliance by department or agency 2012-13"/>
      </w:tblPr>
      <w:tblGrid>
        <w:gridCol w:w="4622"/>
        <w:gridCol w:w="1690"/>
        <w:gridCol w:w="1690"/>
        <w:gridCol w:w="1846"/>
      </w:tblGrid>
      <w:tr w:rsidR="00726510" w:rsidRPr="00490DCE" w14:paraId="7806D1F8" w14:textId="77777777" w:rsidTr="00AB7EF9">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2347" w:type="pct"/>
          </w:tcPr>
          <w:p w14:paraId="318255B1" w14:textId="77777777" w:rsidR="00726510" w:rsidRPr="00490DCE" w:rsidRDefault="00726510" w:rsidP="0019227F">
            <w:pPr>
              <w:pStyle w:val="tablehead"/>
              <w:outlineLvl w:val="3"/>
              <w:rPr>
                <w:rFonts w:ascii="Arial" w:hAnsi="Arial" w:cs="Arial"/>
                <w:color w:val="auto"/>
              </w:rPr>
            </w:pPr>
            <w:r w:rsidRPr="00490DCE">
              <w:rPr>
                <w:rStyle w:val="bold"/>
                <w:rFonts w:ascii="Arial" w:hAnsi="Arial" w:cs="Arial"/>
                <w:color w:val="auto"/>
              </w:rPr>
              <w:t>Department/Agency</w:t>
            </w:r>
          </w:p>
        </w:tc>
        <w:tc>
          <w:tcPr>
            <w:tcW w:w="858" w:type="pct"/>
          </w:tcPr>
          <w:p w14:paraId="68374E2A" w14:textId="77777777" w:rsidR="00726510" w:rsidRDefault="00726510"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Style w:val="bold"/>
                <w:rFonts w:ascii="Arial" w:hAnsi="Arial" w:cs="Arial"/>
                <w:color w:val="auto"/>
              </w:rPr>
            </w:pPr>
            <w:r w:rsidRPr="00490DCE">
              <w:rPr>
                <w:rStyle w:val="bold"/>
                <w:rFonts w:ascii="Arial" w:hAnsi="Arial" w:cs="Arial"/>
                <w:color w:val="auto"/>
              </w:rPr>
              <w:t>Regulation Impact</w:t>
            </w:r>
            <w:r w:rsidRPr="00490DCE">
              <w:rPr>
                <w:rStyle w:val="bold"/>
                <w:rFonts w:ascii="Arial" w:hAnsi="Arial" w:cs="Arial"/>
                <w:color w:val="auto"/>
              </w:rPr>
              <w:br/>
              <w:t>Statements</w:t>
            </w:r>
          </w:p>
          <w:p w14:paraId="7771EA52" w14:textId="4C956B70" w:rsidR="00726510" w:rsidRPr="00490DCE" w:rsidRDefault="00726510"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490DCE">
              <w:rPr>
                <w:rStyle w:val="bold"/>
                <w:rFonts w:ascii="Arial" w:hAnsi="Arial" w:cs="Arial"/>
                <w:color w:val="auto"/>
              </w:rPr>
              <w:t>Compliant</w:t>
            </w:r>
          </w:p>
        </w:tc>
        <w:tc>
          <w:tcPr>
            <w:cnfStyle w:val="000010000000" w:firstRow="0" w:lastRow="0" w:firstColumn="0" w:lastColumn="0" w:oddVBand="1" w:evenVBand="0" w:oddHBand="0" w:evenHBand="0" w:firstRowFirstColumn="0" w:firstRowLastColumn="0" w:lastRowFirstColumn="0" w:lastRowLastColumn="0"/>
            <w:tcW w:w="858" w:type="pct"/>
          </w:tcPr>
          <w:p w14:paraId="705B5420" w14:textId="77777777" w:rsidR="00AB7EF9" w:rsidRDefault="00AB7EF9" w:rsidP="0019227F">
            <w:pPr>
              <w:pStyle w:val="tablehead"/>
              <w:jc w:val="center"/>
              <w:outlineLvl w:val="3"/>
              <w:rPr>
                <w:rStyle w:val="bold"/>
                <w:rFonts w:ascii="Arial" w:hAnsi="Arial" w:cs="Arial"/>
                <w:color w:val="auto"/>
              </w:rPr>
            </w:pPr>
            <w:r w:rsidRPr="00490DCE">
              <w:rPr>
                <w:rStyle w:val="bold"/>
                <w:rFonts w:ascii="Arial" w:hAnsi="Arial" w:cs="Arial"/>
                <w:color w:val="auto"/>
              </w:rPr>
              <w:t>Regulation Impact</w:t>
            </w:r>
            <w:r w:rsidRPr="00490DCE">
              <w:rPr>
                <w:rStyle w:val="bold"/>
                <w:rFonts w:ascii="Arial" w:hAnsi="Arial" w:cs="Arial"/>
                <w:color w:val="auto"/>
              </w:rPr>
              <w:br/>
              <w:t>Statements</w:t>
            </w:r>
          </w:p>
          <w:p w14:paraId="701E33A6" w14:textId="13A2CB3B" w:rsidR="00AB7EF9" w:rsidRPr="00AB7EF9" w:rsidRDefault="00AB7EF9" w:rsidP="0019227F">
            <w:pPr>
              <w:pStyle w:val="tablehead"/>
              <w:jc w:val="center"/>
              <w:outlineLvl w:val="3"/>
              <w:rPr>
                <w:rFonts w:ascii="Arial" w:hAnsi="Arial" w:cs="Arial"/>
                <w:b w:val="0"/>
                <w:color w:val="auto"/>
              </w:rPr>
            </w:pPr>
            <w:r>
              <w:rPr>
                <w:rStyle w:val="bold"/>
                <w:rFonts w:ascii="Arial" w:hAnsi="Arial" w:cs="Arial"/>
                <w:color w:val="auto"/>
              </w:rPr>
              <w:t>Non-</w:t>
            </w:r>
            <w:r w:rsidRPr="00490DCE">
              <w:rPr>
                <w:rStyle w:val="bold"/>
                <w:rFonts w:ascii="Arial" w:hAnsi="Arial" w:cs="Arial"/>
                <w:color w:val="auto"/>
              </w:rPr>
              <w:t>Compliant</w:t>
            </w:r>
            <w:r w:rsidRPr="00490DCE">
              <w:rPr>
                <w:rFonts w:ascii="Arial" w:hAnsi="Arial" w:cs="Arial"/>
                <w:color w:val="auto"/>
              </w:rPr>
              <w:t xml:space="preserve"> </w:t>
            </w:r>
          </w:p>
        </w:tc>
        <w:tc>
          <w:tcPr>
            <w:tcW w:w="937" w:type="pct"/>
          </w:tcPr>
          <w:p w14:paraId="51B06B07" w14:textId="77777777" w:rsidR="00726510" w:rsidRPr="00490DCE" w:rsidRDefault="00726510"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Exceptional circumstances</w:t>
            </w:r>
          </w:p>
        </w:tc>
      </w:tr>
      <w:tr w:rsidR="000A5CFA" w:rsidRPr="00490DCE" w14:paraId="2F655A88"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5BA5B780" w14:textId="77777777" w:rsidR="000A5CFA" w:rsidRPr="00490DCE" w:rsidRDefault="000A5CFA">
            <w:pPr>
              <w:pStyle w:val="body"/>
              <w:rPr>
                <w:rFonts w:ascii="Arial" w:hAnsi="Arial" w:cs="Arial"/>
                <w:color w:val="auto"/>
              </w:rPr>
            </w:pPr>
            <w:r w:rsidRPr="00490DCE">
              <w:rPr>
                <w:rFonts w:ascii="Arial" w:hAnsi="Arial" w:cs="Arial"/>
                <w:color w:val="auto"/>
              </w:rPr>
              <w:t>Attorney-General’s Department</w:t>
            </w:r>
          </w:p>
        </w:tc>
        <w:tc>
          <w:tcPr>
            <w:tcW w:w="858" w:type="pct"/>
          </w:tcPr>
          <w:p w14:paraId="7F7D9D56"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858" w:type="pct"/>
          </w:tcPr>
          <w:p w14:paraId="1109E568"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c>
          <w:tcPr>
            <w:tcW w:w="937" w:type="pct"/>
          </w:tcPr>
          <w:p w14:paraId="43B26F51"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360B0224"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5E4EE0A8" w14:textId="77777777" w:rsidR="000A5CFA" w:rsidRPr="00490DCE" w:rsidRDefault="000A5CFA">
            <w:pPr>
              <w:pStyle w:val="body"/>
              <w:rPr>
                <w:rFonts w:ascii="Arial" w:hAnsi="Arial" w:cs="Arial"/>
                <w:color w:val="auto"/>
              </w:rPr>
            </w:pPr>
            <w:r w:rsidRPr="00490DCE">
              <w:rPr>
                <w:rFonts w:ascii="Arial" w:hAnsi="Arial" w:cs="Arial"/>
                <w:color w:val="auto"/>
              </w:rPr>
              <w:t xml:space="preserve">Australian Communications and </w:t>
            </w:r>
            <w:r w:rsidRPr="00490DCE">
              <w:rPr>
                <w:rFonts w:ascii="Arial" w:hAnsi="Arial" w:cs="Arial"/>
                <w:color w:val="auto"/>
              </w:rPr>
              <w:br/>
              <w:t>Media Authority</w:t>
            </w:r>
          </w:p>
        </w:tc>
        <w:tc>
          <w:tcPr>
            <w:tcW w:w="858" w:type="pct"/>
          </w:tcPr>
          <w:p w14:paraId="130D714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858" w:type="pct"/>
          </w:tcPr>
          <w:p w14:paraId="05BFD8B6"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2BE973C4"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373C6492"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5F5DF40C" w14:textId="77777777" w:rsidR="000A5CFA" w:rsidRPr="00490DCE" w:rsidRDefault="000A5CFA">
            <w:pPr>
              <w:pStyle w:val="body"/>
              <w:rPr>
                <w:rFonts w:ascii="Arial" w:hAnsi="Arial" w:cs="Arial"/>
                <w:color w:val="auto"/>
              </w:rPr>
            </w:pPr>
            <w:r w:rsidRPr="00490DCE">
              <w:rPr>
                <w:rFonts w:ascii="Arial" w:hAnsi="Arial" w:cs="Arial"/>
                <w:color w:val="auto"/>
                <w:spacing w:val="-2"/>
              </w:rPr>
              <w:t>Australian Fisheries Management Authority</w:t>
            </w:r>
          </w:p>
        </w:tc>
        <w:tc>
          <w:tcPr>
            <w:tcW w:w="858" w:type="pct"/>
          </w:tcPr>
          <w:p w14:paraId="32684973"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858" w:type="pct"/>
          </w:tcPr>
          <w:p w14:paraId="65D6997E"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74CB5302"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32982B42"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22EAFDCC" w14:textId="77777777" w:rsidR="000A5CFA" w:rsidRPr="00490DCE" w:rsidRDefault="000A5CFA">
            <w:pPr>
              <w:pStyle w:val="body"/>
              <w:rPr>
                <w:rFonts w:ascii="Arial" w:hAnsi="Arial" w:cs="Arial"/>
                <w:color w:val="auto"/>
              </w:rPr>
            </w:pPr>
            <w:r w:rsidRPr="00490DCE">
              <w:rPr>
                <w:rFonts w:ascii="Arial" w:hAnsi="Arial" w:cs="Arial"/>
                <w:color w:val="auto"/>
              </w:rPr>
              <w:t>Australian Prudential Regulation Authority</w:t>
            </w:r>
          </w:p>
        </w:tc>
        <w:tc>
          <w:tcPr>
            <w:tcW w:w="858" w:type="pct"/>
          </w:tcPr>
          <w:p w14:paraId="2C173CE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4</w:t>
            </w:r>
          </w:p>
        </w:tc>
        <w:tc>
          <w:tcPr>
            <w:cnfStyle w:val="000010000000" w:firstRow="0" w:lastRow="0" w:firstColumn="0" w:lastColumn="0" w:oddVBand="1" w:evenVBand="0" w:oddHBand="0" w:evenHBand="0" w:firstRowFirstColumn="0" w:firstRowLastColumn="0" w:lastRowFirstColumn="0" w:lastRowLastColumn="0"/>
            <w:tcW w:w="858" w:type="pct"/>
          </w:tcPr>
          <w:p w14:paraId="12880977"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07DFDFC5"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41631425"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12C060A4" w14:textId="77777777" w:rsidR="000A5CFA" w:rsidRPr="00490DCE" w:rsidRDefault="000A5CFA">
            <w:pPr>
              <w:pStyle w:val="body"/>
              <w:rPr>
                <w:rFonts w:ascii="Arial" w:hAnsi="Arial" w:cs="Arial"/>
                <w:color w:val="auto"/>
              </w:rPr>
            </w:pPr>
            <w:r w:rsidRPr="00490DCE">
              <w:rPr>
                <w:rFonts w:ascii="Arial" w:hAnsi="Arial" w:cs="Arial"/>
                <w:color w:val="auto"/>
              </w:rPr>
              <w:t>Australian Securities and Investments Commission</w:t>
            </w:r>
          </w:p>
        </w:tc>
        <w:tc>
          <w:tcPr>
            <w:tcW w:w="858" w:type="pct"/>
          </w:tcPr>
          <w:p w14:paraId="79482900"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8</w:t>
            </w:r>
          </w:p>
        </w:tc>
        <w:tc>
          <w:tcPr>
            <w:cnfStyle w:val="000010000000" w:firstRow="0" w:lastRow="0" w:firstColumn="0" w:lastColumn="0" w:oddVBand="1" w:evenVBand="0" w:oddHBand="0" w:evenHBand="0" w:firstRowFirstColumn="0" w:firstRowLastColumn="0" w:lastRowFirstColumn="0" w:lastRowLastColumn="0"/>
            <w:tcW w:w="858" w:type="pct"/>
          </w:tcPr>
          <w:p w14:paraId="6059D265"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70E94E05"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61EE29B5"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1108B2E0" w14:textId="77777777" w:rsidR="000A5CFA" w:rsidRPr="00490DCE" w:rsidRDefault="000A5CFA">
            <w:pPr>
              <w:pStyle w:val="body"/>
              <w:rPr>
                <w:rFonts w:ascii="Arial" w:hAnsi="Arial" w:cs="Arial"/>
                <w:color w:val="auto"/>
              </w:rPr>
            </w:pPr>
            <w:r w:rsidRPr="00490DCE">
              <w:rPr>
                <w:rFonts w:ascii="Arial" w:hAnsi="Arial" w:cs="Arial"/>
                <w:color w:val="auto"/>
              </w:rPr>
              <w:t>Civil Aviation and Safety Authority</w:t>
            </w:r>
          </w:p>
        </w:tc>
        <w:tc>
          <w:tcPr>
            <w:tcW w:w="858" w:type="pct"/>
          </w:tcPr>
          <w:p w14:paraId="15C2F04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858" w:type="pct"/>
          </w:tcPr>
          <w:p w14:paraId="72889068"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7C18E3F5"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5C7AD10D"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08C300C4" w14:textId="77777777" w:rsidR="000A5CFA" w:rsidRPr="00490DCE" w:rsidRDefault="000A5CFA">
            <w:pPr>
              <w:pStyle w:val="body"/>
              <w:rPr>
                <w:rFonts w:ascii="Arial" w:hAnsi="Arial" w:cs="Arial"/>
                <w:color w:val="auto"/>
              </w:rPr>
            </w:pPr>
            <w:r w:rsidRPr="00490DCE">
              <w:rPr>
                <w:rFonts w:ascii="Arial" w:hAnsi="Arial" w:cs="Arial"/>
                <w:color w:val="auto"/>
              </w:rPr>
              <w:t xml:space="preserve">Department of Agriculture, Fisheries </w:t>
            </w:r>
            <w:r w:rsidRPr="00490DCE">
              <w:rPr>
                <w:rFonts w:ascii="Arial" w:hAnsi="Arial" w:cs="Arial"/>
                <w:color w:val="auto"/>
              </w:rPr>
              <w:br/>
              <w:t>and Forestry</w:t>
            </w:r>
          </w:p>
        </w:tc>
        <w:tc>
          <w:tcPr>
            <w:tcW w:w="858" w:type="pct"/>
          </w:tcPr>
          <w:p w14:paraId="3C0103EB"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858" w:type="pct"/>
          </w:tcPr>
          <w:p w14:paraId="0E00285D"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37193108"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51C1E792"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6EB2D50F" w14:textId="77777777" w:rsidR="000A5CFA" w:rsidRPr="00490DCE" w:rsidRDefault="000A5CFA">
            <w:pPr>
              <w:pStyle w:val="body"/>
              <w:rPr>
                <w:rFonts w:ascii="Arial" w:hAnsi="Arial" w:cs="Arial"/>
                <w:color w:val="auto"/>
              </w:rPr>
            </w:pPr>
            <w:r w:rsidRPr="00490DCE">
              <w:rPr>
                <w:rFonts w:ascii="Arial" w:hAnsi="Arial" w:cs="Arial"/>
                <w:color w:val="auto"/>
                <w:spacing w:val="-5"/>
              </w:rPr>
              <w:t>Department of Broadband, Communications and the Digital Economy</w:t>
            </w:r>
          </w:p>
        </w:tc>
        <w:tc>
          <w:tcPr>
            <w:tcW w:w="858" w:type="pct"/>
          </w:tcPr>
          <w:p w14:paraId="5DA48B8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858" w:type="pct"/>
          </w:tcPr>
          <w:p w14:paraId="0C895CE3"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0CBD35B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r>
      <w:tr w:rsidR="000A5CFA" w:rsidRPr="00490DCE" w14:paraId="41EA3F63"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16DDBA30" w14:textId="77777777" w:rsidR="000A5CFA" w:rsidRPr="00490DCE" w:rsidRDefault="000A5CFA">
            <w:pPr>
              <w:pStyle w:val="body"/>
              <w:rPr>
                <w:rFonts w:ascii="Arial" w:hAnsi="Arial" w:cs="Arial"/>
                <w:color w:val="auto"/>
              </w:rPr>
            </w:pPr>
            <w:r w:rsidRPr="00490DCE">
              <w:rPr>
                <w:rFonts w:ascii="Arial" w:hAnsi="Arial" w:cs="Arial"/>
                <w:color w:val="auto"/>
              </w:rPr>
              <w:t>Department of Education, Employment and Workplace Relations</w:t>
            </w:r>
          </w:p>
        </w:tc>
        <w:tc>
          <w:tcPr>
            <w:tcW w:w="858" w:type="pct"/>
          </w:tcPr>
          <w:p w14:paraId="533C775D"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r w:rsidRPr="00490DCE">
              <w:rPr>
                <w:rStyle w:val="super"/>
                <w:rFonts w:cs="Arial"/>
                <w:color w:val="auto"/>
              </w:rPr>
              <w:t>a</w:t>
            </w:r>
          </w:p>
        </w:tc>
        <w:tc>
          <w:tcPr>
            <w:cnfStyle w:val="000010000000" w:firstRow="0" w:lastRow="0" w:firstColumn="0" w:lastColumn="0" w:oddVBand="1" w:evenVBand="0" w:oddHBand="0" w:evenHBand="0" w:firstRowFirstColumn="0" w:firstRowLastColumn="0" w:lastRowFirstColumn="0" w:lastRowLastColumn="0"/>
            <w:tcW w:w="858" w:type="pct"/>
          </w:tcPr>
          <w:p w14:paraId="51BBFFE7"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345527F2"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3</w:t>
            </w:r>
          </w:p>
        </w:tc>
      </w:tr>
      <w:tr w:rsidR="000A5CFA" w:rsidRPr="00490DCE" w14:paraId="0AEE6061"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528E95F3" w14:textId="77777777" w:rsidR="000A5CFA" w:rsidRPr="00490DCE" w:rsidRDefault="000A5CFA">
            <w:pPr>
              <w:pStyle w:val="body"/>
              <w:rPr>
                <w:rFonts w:ascii="Arial" w:hAnsi="Arial" w:cs="Arial"/>
                <w:color w:val="auto"/>
              </w:rPr>
            </w:pPr>
            <w:r w:rsidRPr="00490DCE">
              <w:rPr>
                <w:rFonts w:ascii="Arial" w:hAnsi="Arial" w:cs="Arial"/>
                <w:color w:val="auto"/>
              </w:rPr>
              <w:t>Department of Health and Ageing</w:t>
            </w:r>
          </w:p>
        </w:tc>
        <w:tc>
          <w:tcPr>
            <w:tcW w:w="858" w:type="pct"/>
          </w:tcPr>
          <w:p w14:paraId="431B751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6</w:t>
            </w:r>
          </w:p>
        </w:tc>
        <w:tc>
          <w:tcPr>
            <w:cnfStyle w:val="000010000000" w:firstRow="0" w:lastRow="0" w:firstColumn="0" w:lastColumn="0" w:oddVBand="1" w:evenVBand="0" w:oddHBand="0" w:evenHBand="0" w:firstRowFirstColumn="0" w:firstRowLastColumn="0" w:lastRowFirstColumn="0" w:lastRowLastColumn="0"/>
            <w:tcW w:w="858" w:type="pct"/>
          </w:tcPr>
          <w:p w14:paraId="0F674607"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07F63225"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3C96491F"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75F41FC8" w14:textId="77777777" w:rsidR="000A5CFA" w:rsidRPr="00490DCE" w:rsidRDefault="000A5CFA">
            <w:pPr>
              <w:pStyle w:val="body"/>
              <w:rPr>
                <w:rFonts w:ascii="Arial" w:hAnsi="Arial" w:cs="Arial"/>
                <w:color w:val="auto"/>
              </w:rPr>
            </w:pPr>
            <w:r w:rsidRPr="00490DCE">
              <w:rPr>
                <w:rFonts w:ascii="Arial" w:hAnsi="Arial" w:cs="Arial"/>
                <w:color w:val="auto"/>
              </w:rPr>
              <w:t>Department of Immigration and Citizenship</w:t>
            </w:r>
          </w:p>
        </w:tc>
        <w:tc>
          <w:tcPr>
            <w:tcW w:w="858" w:type="pct"/>
          </w:tcPr>
          <w:p w14:paraId="317444DA"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858" w:type="pct"/>
          </w:tcPr>
          <w:p w14:paraId="54822926"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c>
          <w:tcPr>
            <w:tcW w:w="937" w:type="pct"/>
          </w:tcPr>
          <w:p w14:paraId="20717B5C"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r>
      <w:tr w:rsidR="000A5CFA" w:rsidRPr="00490DCE" w14:paraId="3303D857"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6C7FF5C9" w14:textId="77777777" w:rsidR="000A5CFA" w:rsidRPr="00490DCE" w:rsidRDefault="000A5CFA">
            <w:pPr>
              <w:pStyle w:val="body"/>
              <w:rPr>
                <w:rFonts w:ascii="Arial" w:hAnsi="Arial" w:cs="Arial"/>
                <w:color w:val="auto"/>
              </w:rPr>
            </w:pPr>
            <w:r w:rsidRPr="00490DCE">
              <w:rPr>
                <w:rFonts w:ascii="Arial" w:hAnsi="Arial" w:cs="Arial"/>
                <w:color w:val="auto"/>
              </w:rPr>
              <w:t xml:space="preserve">Department of Industry, Innovation, </w:t>
            </w:r>
            <w:r w:rsidRPr="00490DCE">
              <w:rPr>
                <w:rFonts w:ascii="Arial" w:hAnsi="Arial" w:cs="Arial"/>
                <w:color w:val="auto"/>
              </w:rPr>
              <w:br/>
              <w:t>Climate Change, Science, Research and Tertiary Education</w:t>
            </w:r>
          </w:p>
        </w:tc>
        <w:tc>
          <w:tcPr>
            <w:tcW w:w="858" w:type="pct"/>
          </w:tcPr>
          <w:p w14:paraId="040523D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8</w:t>
            </w:r>
          </w:p>
        </w:tc>
        <w:tc>
          <w:tcPr>
            <w:cnfStyle w:val="000010000000" w:firstRow="0" w:lastRow="0" w:firstColumn="0" w:lastColumn="0" w:oddVBand="1" w:evenVBand="0" w:oddHBand="0" w:evenHBand="0" w:firstRowFirstColumn="0" w:firstRowLastColumn="0" w:lastRowFirstColumn="0" w:lastRowLastColumn="0"/>
            <w:tcW w:w="858" w:type="pct"/>
          </w:tcPr>
          <w:p w14:paraId="543BF63F"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1B62A94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r>
      <w:tr w:rsidR="000A5CFA" w:rsidRPr="00490DCE" w14:paraId="3FBFE37E"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358F3E26" w14:textId="77777777" w:rsidR="000A5CFA" w:rsidRPr="00490DCE" w:rsidRDefault="000A5CFA">
            <w:pPr>
              <w:pStyle w:val="body"/>
              <w:rPr>
                <w:rFonts w:ascii="Arial" w:hAnsi="Arial" w:cs="Arial"/>
                <w:color w:val="auto"/>
              </w:rPr>
            </w:pPr>
            <w:r w:rsidRPr="00490DCE">
              <w:rPr>
                <w:rFonts w:ascii="Arial" w:hAnsi="Arial" w:cs="Arial"/>
                <w:color w:val="auto"/>
                <w:spacing w:val="-2"/>
              </w:rPr>
              <w:t>Department of Infrastructure and Transport</w:t>
            </w:r>
          </w:p>
        </w:tc>
        <w:tc>
          <w:tcPr>
            <w:tcW w:w="858" w:type="pct"/>
          </w:tcPr>
          <w:p w14:paraId="535008A7"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858" w:type="pct"/>
          </w:tcPr>
          <w:p w14:paraId="4068C822"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0ED2958C"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141A5D75"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3F872520" w14:textId="77777777" w:rsidR="000A5CFA" w:rsidRPr="00490DCE" w:rsidRDefault="000A5CFA">
            <w:pPr>
              <w:pStyle w:val="body"/>
              <w:rPr>
                <w:rFonts w:ascii="Arial" w:hAnsi="Arial" w:cs="Arial"/>
                <w:color w:val="auto"/>
              </w:rPr>
            </w:pPr>
            <w:r w:rsidRPr="00490DCE">
              <w:rPr>
                <w:rFonts w:ascii="Arial" w:hAnsi="Arial" w:cs="Arial"/>
                <w:color w:val="auto"/>
              </w:rPr>
              <w:t xml:space="preserve">Department of Resources, Energy </w:t>
            </w:r>
            <w:r w:rsidRPr="00490DCE">
              <w:rPr>
                <w:rFonts w:ascii="Arial" w:hAnsi="Arial" w:cs="Arial"/>
                <w:color w:val="auto"/>
              </w:rPr>
              <w:br/>
              <w:t>and Tourism</w:t>
            </w:r>
          </w:p>
        </w:tc>
        <w:tc>
          <w:tcPr>
            <w:tcW w:w="858" w:type="pct"/>
          </w:tcPr>
          <w:p w14:paraId="3EA819F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858" w:type="pct"/>
          </w:tcPr>
          <w:p w14:paraId="51F9BED3"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751A7C2A"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60C35521"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52801144" w14:textId="77777777" w:rsidR="000A5CFA" w:rsidRPr="00490DCE" w:rsidRDefault="000A5CFA">
            <w:pPr>
              <w:pStyle w:val="body"/>
              <w:rPr>
                <w:rFonts w:ascii="Arial" w:hAnsi="Arial" w:cs="Arial"/>
                <w:color w:val="auto"/>
              </w:rPr>
            </w:pPr>
            <w:r w:rsidRPr="00490DCE">
              <w:rPr>
                <w:rFonts w:ascii="Arial" w:hAnsi="Arial" w:cs="Arial"/>
                <w:color w:val="auto"/>
              </w:rPr>
              <w:lastRenderedPageBreak/>
              <w:t>Department of Sustainability, Environment, Water, Population and Communities</w:t>
            </w:r>
          </w:p>
        </w:tc>
        <w:tc>
          <w:tcPr>
            <w:tcW w:w="858" w:type="pct"/>
          </w:tcPr>
          <w:p w14:paraId="16234DA6"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858" w:type="pct"/>
          </w:tcPr>
          <w:p w14:paraId="63669B04"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7255CDC1"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r>
      <w:tr w:rsidR="000A5CFA" w:rsidRPr="00490DCE" w14:paraId="4F0EA092"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40A5C21B" w14:textId="77777777" w:rsidR="000A5CFA" w:rsidRPr="00490DCE" w:rsidRDefault="000A5CFA">
            <w:pPr>
              <w:pStyle w:val="body"/>
              <w:rPr>
                <w:rFonts w:ascii="Arial" w:hAnsi="Arial" w:cs="Arial"/>
                <w:color w:val="auto"/>
              </w:rPr>
            </w:pPr>
            <w:r w:rsidRPr="00490DCE">
              <w:rPr>
                <w:rFonts w:ascii="Arial" w:hAnsi="Arial" w:cs="Arial"/>
                <w:color w:val="auto"/>
              </w:rPr>
              <w:t>Murray-Darling Basin Authority</w:t>
            </w:r>
          </w:p>
        </w:tc>
        <w:tc>
          <w:tcPr>
            <w:tcW w:w="858" w:type="pct"/>
          </w:tcPr>
          <w:p w14:paraId="32146DF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858" w:type="pct"/>
          </w:tcPr>
          <w:p w14:paraId="54CB3C46"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13D43554"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13DAD91A"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7F32DEB2" w14:textId="77777777" w:rsidR="000A5CFA" w:rsidRPr="00490DCE" w:rsidRDefault="000A5CFA">
            <w:pPr>
              <w:pStyle w:val="body"/>
              <w:rPr>
                <w:rFonts w:ascii="Arial" w:hAnsi="Arial" w:cs="Arial"/>
                <w:color w:val="auto"/>
              </w:rPr>
            </w:pPr>
            <w:r w:rsidRPr="00490DCE">
              <w:rPr>
                <w:rFonts w:ascii="Arial" w:hAnsi="Arial" w:cs="Arial"/>
                <w:color w:val="auto"/>
              </w:rPr>
              <w:t xml:space="preserve">Private Health Insurance </w:t>
            </w:r>
            <w:r w:rsidRPr="00490DCE">
              <w:rPr>
                <w:rFonts w:ascii="Arial" w:hAnsi="Arial" w:cs="Arial"/>
                <w:color w:val="auto"/>
              </w:rPr>
              <w:br/>
              <w:t>Administration Council</w:t>
            </w:r>
          </w:p>
        </w:tc>
        <w:tc>
          <w:tcPr>
            <w:tcW w:w="858" w:type="pct"/>
          </w:tcPr>
          <w:p w14:paraId="5D9654D0"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858" w:type="pct"/>
          </w:tcPr>
          <w:p w14:paraId="6B409D08"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28D52435"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490DCE" w14:paraId="152D35B6" w14:textId="77777777" w:rsidTr="00AB7EF9">
        <w:trPr>
          <w:trHeight w:val="60"/>
        </w:trPr>
        <w:tc>
          <w:tcPr>
            <w:cnfStyle w:val="000010000000" w:firstRow="0" w:lastRow="0" w:firstColumn="0" w:lastColumn="0" w:oddVBand="1" w:evenVBand="0" w:oddHBand="0" w:evenHBand="0" w:firstRowFirstColumn="0" w:firstRowLastColumn="0" w:lastRowFirstColumn="0" w:lastRowLastColumn="0"/>
            <w:tcW w:w="2347" w:type="pct"/>
          </w:tcPr>
          <w:p w14:paraId="4DC777BC" w14:textId="77777777" w:rsidR="000A5CFA" w:rsidRPr="00490DCE" w:rsidRDefault="000A5CFA">
            <w:pPr>
              <w:pStyle w:val="body"/>
              <w:rPr>
                <w:rFonts w:ascii="Arial" w:hAnsi="Arial" w:cs="Arial"/>
                <w:color w:val="auto"/>
              </w:rPr>
            </w:pPr>
            <w:r w:rsidRPr="00490DCE">
              <w:rPr>
                <w:rFonts w:ascii="Arial" w:hAnsi="Arial" w:cs="Arial"/>
                <w:color w:val="auto"/>
              </w:rPr>
              <w:t>Reserve Bank of Australia</w:t>
            </w:r>
          </w:p>
        </w:tc>
        <w:tc>
          <w:tcPr>
            <w:tcW w:w="858" w:type="pct"/>
          </w:tcPr>
          <w:p w14:paraId="7849577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858" w:type="pct"/>
          </w:tcPr>
          <w:p w14:paraId="30AD46D9"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0283CBC7" w14:textId="77777777" w:rsidR="000A5CFA" w:rsidRPr="00490DCE" w:rsidRDefault="000A5CFA">
            <w:pPr>
              <w:pStyle w:val="NoParagraphStyle"/>
              <w:spacing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lang w:val="en-US"/>
              </w:rPr>
            </w:pPr>
          </w:p>
        </w:tc>
      </w:tr>
      <w:tr w:rsidR="000A5CFA" w:rsidRPr="00490DCE" w14:paraId="195A49AF" w14:textId="77777777" w:rsidTr="00AB7E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2347" w:type="pct"/>
          </w:tcPr>
          <w:p w14:paraId="0272453D" w14:textId="77777777" w:rsidR="000A5CFA" w:rsidRPr="00490DCE" w:rsidRDefault="000A5CFA">
            <w:pPr>
              <w:pStyle w:val="body"/>
              <w:rPr>
                <w:rFonts w:ascii="Arial" w:hAnsi="Arial" w:cs="Arial"/>
                <w:color w:val="auto"/>
              </w:rPr>
            </w:pPr>
            <w:r w:rsidRPr="00490DCE">
              <w:rPr>
                <w:rFonts w:ascii="Arial" w:hAnsi="Arial" w:cs="Arial"/>
                <w:color w:val="auto"/>
              </w:rPr>
              <w:t>Treasury</w:t>
            </w:r>
          </w:p>
        </w:tc>
        <w:tc>
          <w:tcPr>
            <w:tcW w:w="858" w:type="pct"/>
          </w:tcPr>
          <w:p w14:paraId="74D6EF87"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8</w:t>
            </w:r>
          </w:p>
        </w:tc>
        <w:tc>
          <w:tcPr>
            <w:cnfStyle w:val="000010000000" w:firstRow="0" w:lastRow="0" w:firstColumn="0" w:lastColumn="0" w:oddVBand="1" w:evenVBand="0" w:oddHBand="0" w:evenHBand="0" w:firstRowFirstColumn="0" w:firstRowLastColumn="0" w:lastRowFirstColumn="0" w:lastRowLastColumn="0"/>
            <w:tcW w:w="858" w:type="pct"/>
          </w:tcPr>
          <w:p w14:paraId="74AFFAFD" w14:textId="77777777" w:rsidR="000A5CFA" w:rsidRPr="00490DCE" w:rsidRDefault="000A5CFA">
            <w:pPr>
              <w:pStyle w:val="NoParagraphStyle"/>
              <w:spacing w:line="240" w:lineRule="auto"/>
              <w:textAlignment w:val="auto"/>
              <w:rPr>
                <w:rFonts w:ascii="Arial" w:hAnsi="Arial" w:cs="Arial"/>
                <w:color w:val="auto"/>
                <w:lang w:val="en-US"/>
              </w:rPr>
            </w:pPr>
          </w:p>
        </w:tc>
        <w:tc>
          <w:tcPr>
            <w:tcW w:w="937" w:type="pct"/>
          </w:tcPr>
          <w:p w14:paraId="1E3CB0E0"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r>
      <w:tr w:rsidR="000A5CFA" w:rsidRPr="001117BB" w14:paraId="79E7A2D0" w14:textId="77777777" w:rsidTr="00AB7EF9">
        <w:trPr>
          <w:trHeight w:val="305"/>
        </w:trPr>
        <w:tc>
          <w:tcPr>
            <w:cnfStyle w:val="000010000000" w:firstRow="0" w:lastRow="0" w:firstColumn="0" w:lastColumn="0" w:oddVBand="1" w:evenVBand="0" w:oddHBand="0" w:evenHBand="0" w:firstRowFirstColumn="0" w:firstRowLastColumn="0" w:lastRowFirstColumn="0" w:lastRowLastColumn="0"/>
            <w:tcW w:w="2347" w:type="pct"/>
          </w:tcPr>
          <w:p w14:paraId="37C97CEA" w14:textId="77777777" w:rsidR="000A5CFA" w:rsidRPr="001117BB" w:rsidRDefault="000A5CFA">
            <w:pPr>
              <w:pStyle w:val="body"/>
              <w:rPr>
                <w:rFonts w:ascii="Arial" w:hAnsi="Arial" w:cs="Arial"/>
                <w:b/>
                <w:color w:val="auto"/>
              </w:rPr>
            </w:pPr>
            <w:r w:rsidRPr="001117BB">
              <w:rPr>
                <w:rStyle w:val="bold"/>
                <w:rFonts w:ascii="Arial" w:hAnsi="Arial" w:cs="Arial"/>
                <w:b/>
                <w:color w:val="auto"/>
              </w:rPr>
              <w:t>Total</w:t>
            </w:r>
          </w:p>
        </w:tc>
        <w:tc>
          <w:tcPr>
            <w:tcW w:w="858" w:type="pct"/>
          </w:tcPr>
          <w:p w14:paraId="47C9FBA4" w14:textId="77777777" w:rsidR="000A5CFA" w:rsidRPr="001117BB"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1117BB">
              <w:rPr>
                <w:rStyle w:val="bold"/>
                <w:rFonts w:ascii="Arial" w:hAnsi="Arial" w:cs="Arial"/>
                <w:b/>
                <w:color w:val="auto"/>
              </w:rPr>
              <w:t>64</w:t>
            </w:r>
          </w:p>
        </w:tc>
        <w:tc>
          <w:tcPr>
            <w:cnfStyle w:val="000010000000" w:firstRow="0" w:lastRow="0" w:firstColumn="0" w:lastColumn="0" w:oddVBand="1" w:evenVBand="0" w:oddHBand="0" w:evenHBand="0" w:firstRowFirstColumn="0" w:firstRowLastColumn="0" w:lastRowFirstColumn="0" w:lastRowLastColumn="0"/>
            <w:tcW w:w="858" w:type="pct"/>
          </w:tcPr>
          <w:p w14:paraId="2AC7AC3B" w14:textId="77777777" w:rsidR="000A5CFA" w:rsidRPr="001117BB" w:rsidRDefault="000A5CFA">
            <w:pPr>
              <w:pStyle w:val="body"/>
              <w:jc w:val="center"/>
              <w:rPr>
                <w:rFonts w:ascii="Arial" w:hAnsi="Arial" w:cs="Arial"/>
                <w:b/>
                <w:color w:val="auto"/>
              </w:rPr>
            </w:pPr>
            <w:r w:rsidRPr="001117BB">
              <w:rPr>
                <w:rStyle w:val="bold"/>
                <w:rFonts w:ascii="Arial" w:hAnsi="Arial" w:cs="Arial"/>
                <w:b/>
                <w:color w:val="auto"/>
              </w:rPr>
              <w:t>2</w:t>
            </w:r>
          </w:p>
        </w:tc>
        <w:tc>
          <w:tcPr>
            <w:tcW w:w="937" w:type="pct"/>
          </w:tcPr>
          <w:p w14:paraId="49270B41" w14:textId="77777777" w:rsidR="000A5CFA" w:rsidRPr="001117BB"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1117BB">
              <w:rPr>
                <w:rStyle w:val="bold"/>
                <w:rFonts w:ascii="Arial" w:hAnsi="Arial" w:cs="Arial"/>
                <w:b/>
                <w:color w:val="auto"/>
              </w:rPr>
              <w:t>8</w:t>
            </w:r>
          </w:p>
        </w:tc>
      </w:tr>
    </w:tbl>
    <w:p w14:paraId="465DFC79" w14:textId="77777777" w:rsidR="000A5CFA" w:rsidRPr="00490DCE" w:rsidRDefault="000A5CFA">
      <w:pPr>
        <w:pStyle w:val="body"/>
        <w:rPr>
          <w:rFonts w:ascii="Arial" w:hAnsi="Arial" w:cs="Arial"/>
          <w:color w:val="auto"/>
          <w:sz w:val="16"/>
          <w:szCs w:val="16"/>
          <w:lang w:val="en-AU"/>
        </w:rPr>
      </w:pPr>
    </w:p>
    <w:p w14:paraId="1EAB91FD" w14:textId="77777777" w:rsidR="000A5CFA" w:rsidRPr="00490DCE" w:rsidRDefault="000A5CFA">
      <w:pPr>
        <w:pStyle w:val="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These two RISs were adequate at the decision-making stage, but non-compliant at the transparency stage.</w:t>
      </w:r>
    </w:p>
    <w:p w14:paraId="370C5D32" w14:textId="77777777" w:rsidR="000A5CFA" w:rsidRPr="00490DCE" w:rsidRDefault="000A5CFA" w:rsidP="00E804F7">
      <w:pPr>
        <w:pStyle w:val="Heading3"/>
        <w:rPr>
          <w:rFonts w:cs="Arial"/>
        </w:rPr>
      </w:pPr>
      <w:r w:rsidRPr="00490DCE">
        <w:rPr>
          <w:rFonts w:cs="Arial"/>
        </w:rPr>
        <w:t>3.1 Detailed compliance results by Portfolio</w:t>
      </w:r>
    </w:p>
    <w:p w14:paraId="7060092C" w14:textId="77777777" w:rsidR="000A5CFA" w:rsidRPr="00490DCE" w:rsidRDefault="000A5CFA" w:rsidP="002C252F">
      <w:pPr>
        <w:rPr>
          <w:rFonts w:cs="Arial"/>
        </w:rPr>
      </w:pPr>
      <w:r w:rsidRPr="00490DCE">
        <w:rPr>
          <w:rFonts w:cs="Arial"/>
        </w:rPr>
        <w:t xml:space="preserve">The following tables show more detailed compliance by department and agency at the </w:t>
      </w:r>
      <w:r w:rsidRPr="00490DCE">
        <w:rPr>
          <w:rFonts w:cs="Arial"/>
        </w:rPr>
        <w:br/>
        <w:t>decision-making stage and transparency stage. Prime Minister’s exemptions for exceptional circumstances are also identified.</w:t>
      </w:r>
    </w:p>
    <w:p w14:paraId="2F4CDE29" w14:textId="77777777" w:rsidR="000A5CFA" w:rsidRPr="00490DCE" w:rsidRDefault="000A5CFA">
      <w:pPr>
        <w:pStyle w:val="tabletitle"/>
        <w:rPr>
          <w:rFonts w:cs="Arial"/>
        </w:rPr>
      </w:pPr>
      <w:r w:rsidRPr="00490DCE">
        <w:rPr>
          <w:rFonts w:cs="Arial"/>
        </w:rPr>
        <w:t>3.1.1 Attorney-General’s Department</w:t>
      </w:r>
    </w:p>
    <w:tbl>
      <w:tblPr>
        <w:tblStyle w:val="LightList"/>
        <w:tblW w:w="5000" w:type="pct"/>
        <w:tblLook w:val="0020" w:firstRow="1" w:lastRow="0" w:firstColumn="0" w:lastColumn="0" w:noHBand="0" w:noVBand="0"/>
        <w:tblDescription w:val="2012-13 RIS compliance - Attorney-General's department"/>
      </w:tblPr>
      <w:tblGrid>
        <w:gridCol w:w="699"/>
        <w:gridCol w:w="5448"/>
        <w:gridCol w:w="1237"/>
        <w:gridCol w:w="1237"/>
        <w:gridCol w:w="1227"/>
      </w:tblGrid>
      <w:tr w:rsidR="000A5CFA" w:rsidRPr="00490DCE" w14:paraId="48DE0824"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2F3AA6E"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5134374B"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08EB202D" w14:textId="77777777" w:rsidR="002C252F" w:rsidRPr="00490DCE" w:rsidRDefault="002C252F" w:rsidP="0019227F">
            <w:pPr>
              <w:pStyle w:val="NoParagraphStyle"/>
              <w:spacing w:line="240" w:lineRule="auto"/>
              <w:textAlignment w:val="auto"/>
              <w:outlineLvl w:val="3"/>
              <w:rPr>
                <w:rFonts w:ascii="Arial" w:hAnsi="Arial" w:cs="Arial"/>
                <w:color w:val="auto"/>
                <w:lang w:val="en-US"/>
              </w:rPr>
            </w:pPr>
          </w:p>
          <w:p w14:paraId="3F3E22AF" w14:textId="77777777" w:rsidR="000A5CFA" w:rsidRPr="00490DCE" w:rsidRDefault="000A5CFA" w:rsidP="0019227F">
            <w:pPr>
              <w:outlineLvl w:val="3"/>
              <w:rPr>
                <w:rFonts w:cs="Arial"/>
                <w:lang w:val="en-US"/>
              </w:rPr>
            </w:pPr>
          </w:p>
        </w:tc>
        <w:tc>
          <w:tcPr>
            <w:tcW w:w="2766" w:type="pct"/>
          </w:tcPr>
          <w:p w14:paraId="4DC5603A"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8" w:type="pct"/>
          </w:tcPr>
          <w:p w14:paraId="280963F1"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28" w:type="pct"/>
          </w:tcPr>
          <w:p w14:paraId="0B4BEA59"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4" w:type="pct"/>
          </w:tcPr>
          <w:p w14:paraId="7A6A0AFB" w14:textId="744BBF4C"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PIR</w:t>
            </w:r>
            <w:r w:rsidR="001117BB" w:rsidRPr="0033158E">
              <w:rPr>
                <w:rStyle w:val="bold"/>
                <w:rFonts w:ascii="Arial" w:hAnsi="Arial" w:cs="Arial"/>
                <w:b w:val="0"/>
                <w:color w:val="auto"/>
              </w:rPr>
              <w:br/>
            </w:r>
            <w:r w:rsidRPr="0033158E">
              <w:rPr>
                <w:rStyle w:val="bold"/>
                <w:rFonts w:ascii="Arial" w:hAnsi="Arial" w:cs="Arial"/>
                <w:b w:val="0"/>
                <w:color w:val="auto"/>
              </w:rPr>
              <w:t xml:space="preserve"> required</w:t>
            </w:r>
          </w:p>
        </w:tc>
      </w:tr>
      <w:tr w:rsidR="000A5CFA" w:rsidRPr="00490DCE" w14:paraId="5ED19C48"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B3A18AD" w14:textId="77777777" w:rsidR="000A5CFA" w:rsidRPr="001117BB" w:rsidRDefault="000A5CFA">
            <w:pPr>
              <w:pStyle w:val="body"/>
              <w:rPr>
                <w:rFonts w:ascii="Arial" w:hAnsi="Arial" w:cs="Arial"/>
                <w:b/>
                <w:color w:val="auto"/>
              </w:rPr>
            </w:pPr>
            <w:r w:rsidRPr="001117BB">
              <w:rPr>
                <w:rStyle w:val="bold"/>
                <w:rFonts w:ascii="Arial" w:hAnsi="Arial" w:cs="Arial"/>
                <w:b/>
                <w:color w:val="auto"/>
              </w:rPr>
              <w:t>Consolidation of Commonwealth Anti-discrimination Laws</w:t>
            </w:r>
          </w:p>
        </w:tc>
      </w:tr>
      <w:tr w:rsidR="000A5CFA" w:rsidRPr="00490DCE" w14:paraId="1FABE472"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2A65648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ECE57E0"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Consolidates five current anti-discrimination acts into a single act.</w:t>
            </w:r>
          </w:p>
        </w:tc>
        <w:tc>
          <w:tcPr>
            <w:cnfStyle w:val="000010000000" w:firstRow="0" w:lastRow="0" w:firstColumn="0" w:lastColumn="0" w:oddVBand="1" w:evenVBand="0" w:oddHBand="0" w:evenHBand="0" w:firstRowFirstColumn="0" w:firstRowLastColumn="0" w:lastRowFirstColumn="0" w:lastRowLastColumn="0"/>
            <w:tcW w:w="628" w:type="pct"/>
          </w:tcPr>
          <w:p w14:paraId="1D0DF522"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8" w:type="pct"/>
          </w:tcPr>
          <w:p w14:paraId="3B81DB2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4" w:type="pct"/>
          </w:tcPr>
          <w:p w14:paraId="7FC0B9FC"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5368341"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067B279" w14:textId="77777777" w:rsidR="000A5CFA" w:rsidRPr="001117BB" w:rsidRDefault="000A5CFA">
            <w:pPr>
              <w:pStyle w:val="body"/>
              <w:rPr>
                <w:rFonts w:ascii="Arial" w:hAnsi="Arial" w:cs="Arial"/>
                <w:b/>
                <w:color w:val="auto"/>
              </w:rPr>
            </w:pPr>
            <w:r w:rsidRPr="001117BB">
              <w:rPr>
                <w:rStyle w:val="bold"/>
                <w:rFonts w:ascii="Arial" w:hAnsi="Arial" w:cs="Arial"/>
                <w:b/>
                <w:color w:val="auto"/>
              </w:rPr>
              <w:t>Amendments to the Sex Discrimination Act</w:t>
            </w:r>
          </w:p>
        </w:tc>
      </w:tr>
      <w:tr w:rsidR="000A5CFA" w:rsidRPr="00490DCE" w14:paraId="637CF209"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756306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08BA674" w14:textId="77777777" w:rsidR="000A5CFA" w:rsidRPr="00490DCE"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Style w:val="italic"/>
                <w:rFonts w:ascii="Arial" w:hAnsi="Arial" w:cs="Arial"/>
                <w:color w:val="auto"/>
              </w:rPr>
              <w:t>Prohibits discrimination on the basis of sexual orientation, gender identity and intersex status.</w:t>
            </w:r>
          </w:p>
        </w:tc>
        <w:tc>
          <w:tcPr>
            <w:cnfStyle w:val="000010000000" w:firstRow="0" w:lastRow="0" w:firstColumn="0" w:lastColumn="0" w:oddVBand="1" w:evenVBand="0" w:oddHBand="0" w:evenHBand="0" w:firstRowFirstColumn="0" w:firstRowLastColumn="0" w:lastRowFirstColumn="0" w:lastRowLastColumn="0"/>
            <w:tcW w:w="628" w:type="pct"/>
          </w:tcPr>
          <w:p w14:paraId="287D6B1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8" w:type="pct"/>
          </w:tcPr>
          <w:p w14:paraId="6E82E92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4" w:type="pct"/>
          </w:tcPr>
          <w:p w14:paraId="2F36C6FF"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835C2CF"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B5E3576" w14:textId="77777777" w:rsidR="000A5CFA" w:rsidRPr="001117BB" w:rsidRDefault="000A5CFA">
            <w:pPr>
              <w:pStyle w:val="body"/>
              <w:rPr>
                <w:rFonts w:ascii="Arial" w:hAnsi="Arial" w:cs="Arial"/>
                <w:b/>
                <w:color w:val="auto"/>
              </w:rPr>
            </w:pPr>
            <w:r w:rsidRPr="001117BB">
              <w:rPr>
                <w:rStyle w:val="bold"/>
                <w:rFonts w:ascii="Arial" w:hAnsi="Arial" w:cs="Arial"/>
                <w:b/>
                <w:color w:val="auto"/>
              </w:rPr>
              <w:t>Mandatory Data Breach Notification</w:t>
            </w:r>
          </w:p>
        </w:tc>
      </w:tr>
      <w:tr w:rsidR="000A5CFA" w:rsidRPr="00490DCE" w14:paraId="75CC6B72"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17F825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3B77F32"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Requires organisations to notify individuals of a data breach where they face a real risk of serious harm.</w:t>
            </w:r>
          </w:p>
        </w:tc>
        <w:tc>
          <w:tcPr>
            <w:cnfStyle w:val="000010000000" w:firstRow="0" w:lastRow="0" w:firstColumn="0" w:lastColumn="0" w:oddVBand="1" w:evenVBand="0" w:oddHBand="0" w:evenHBand="0" w:firstRowFirstColumn="0" w:firstRowLastColumn="0" w:lastRowFirstColumn="0" w:lastRowLastColumn="0"/>
            <w:tcW w:w="628" w:type="pct"/>
          </w:tcPr>
          <w:p w14:paraId="41978139"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8" w:type="pct"/>
          </w:tcPr>
          <w:p w14:paraId="6C453C4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4" w:type="pct"/>
          </w:tcPr>
          <w:p w14:paraId="3727329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9C34251"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E42F524" w14:textId="77777777" w:rsidR="000A5CFA" w:rsidRPr="001117BB" w:rsidRDefault="000A5CFA">
            <w:pPr>
              <w:pStyle w:val="body"/>
              <w:rPr>
                <w:rFonts w:ascii="Arial" w:hAnsi="Arial" w:cs="Arial"/>
                <w:b/>
                <w:color w:val="auto"/>
              </w:rPr>
            </w:pPr>
            <w:r w:rsidRPr="001117BB">
              <w:rPr>
                <w:rStyle w:val="bold"/>
                <w:rFonts w:ascii="Arial" w:hAnsi="Arial" w:cs="Arial"/>
                <w:b/>
                <w:color w:val="auto"/>
              </w:rPr>
              <w:t>Banning the Importation of Unauthorised Psychoactive Substances</w:t>
            </w:r>
          </w:p>
        </w:tc>
      </w:tr>
      <w:tr w:rsidR="000A5CFA" w:rsidRPr="00490DCE" w14:paraId="3F823B23"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2D3E7E8"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67477E3"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Instituting a ‘reverse onus of proof’ scheme to prohibit the importation of psychoactive substances unless they are authorised as safe and legal.</w:t>
            </w:r>
          </w:p>
        </w:tc>
        <w:tc>
          <w:tcPr>
            <w:cnfStyle w:val="000010000000" w:firstRow="0" w:lastRow="0" w:firstColumn="0" w:lastColumn="0" w:oddVBand="1" w:evenVBand="0" w:oddHBand="0" w:evenHBand="0" w:firstRowFirstColumn="0" w:firstRowLastColumn="0" w:lastRowFirstColumn="0" w:lastRowLastColumn="0"/>
            <w:tcW w:w="628" w:type="pct"/>
          </w:tcPr>
          <w:p w14:paraId="4D2819A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628" w:type="pct"/>
          </w:tcPr>
          <w:p w14:paraId="166DF65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c>
          <w:tcPr>
            <w:cnfStyle w:val="000010000000" w:firstRow="0" w:lastRow="0" w:firstColumn="0" w:lastColumn="0" w:oddVBand="1" w:evenVBand="0" w:oddHBand="0" w:evenHBand="0" w:firstRowFirstColumn="0" w:firstRowLastColumn="0" w:lastRowFirstColumn="0" w:lastRowLastColumn="0"/>
            <w:tcW w:w="624" w:type="pct"/>
          </w:tcPr>
          <w:p w14:paraId="1391129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bl>
    <w:p w14:paraId="02238E3A" w14:textId="77777777" w:rsidR="000A5CFA" w:rsidRPr="00490DCE" w:rsidRDefault="000A5CFA">
      <w:pPr>
        <w:pStyle w:val="NoParagraphStyle"/>
        <w:suppressAutoHyphens/>
        <w:rPr>
          <w:rFonts w:ascii="Arial" w:hAnsi="Arial" w:cs="Arial"/>
          <w:color w:val="auto"/>
          <w:sz w:val="22"/>
          <w:szCs w:val="22"/>
          <w:lang w:val="en-AU"/>
        </w:rPr>
      </w:pPr>
    </w:p>
    <w:p w14:paraId="2913F8C0" w14:textId="77777777" w:rsidR="000A5CFA" w:rsidRPr="00490DCE" w:rsidRDefault="002C252F">
      <w:pPr>
        <w:pStyle w:val="tabletitle"/>
        <w:rPr>
          <w:rFonts w:cs="Arial"/>
        </w:rPr>
      </w:pPr>
      <w:r w:rsidRPr="00490DCE">
        <w:rPr>
          <w:rFonts w:cs="Arial"/>
        </w:rPr>
        <w:br w:type="page"/>
      </w:r>
      <w:r w:rsidR="000A5CFA" w:rsidRPr="00490DCE">
        <w:rPr>
          <w:rFonts w:cs="Arial"/>
        </w:rPr>
        <w:lastRenderedPageBreak/>
        <w:t>3.1.2 Australian Communications and Media Authority</w:t>
      </w:r>
    </w:p>
    <w:tbl>
      <w:tblPr>
        <w:tblStyle w:val="LightList"/>
        <w:tblW w:w="5000" w:type="pct"/>
        <w:tblLook w:val="0020" w:firstRow="1" w:lastRow="0" w:firstColumn="0" w:lastColumn="0" w:noHBand="0" w:noVBand="0"/>
        <w:tblDescription w:val="2012-13 RIS compliance - Australian Communications and Media Authority"/>
      </w:tblPr>
      <w:tblGrid>
        <w:gridCol w:w="699"/>
        <w:gridCol w:w="5456"/>
        <w:gridCol w:w="1245"/>
        <w:gridCol w:w="1203"/>
        <w:gridCol w:w="1245"/>
      </w:tblGrid>
      <w:tr w:rsidR="000A5CFA" w:rsidRPr="00490DCE" w14:paraId="2A57CA6D"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E3AA1A2"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EDA5ABD"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04FD73C5"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70" w:type="pct"/>
          </w:tcPr>
          <w:p w14:paraId="0A4EFA93"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32" w:type="pct"/>
          </w:tcPr>
          <w:p w14:paraId="12EFA11D"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11" w:type="pct"/>
          </w:tcPr>
          <w:p w14:paraId="0E04827F"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32" w:type="pct"/>
          </w:tcPr>
          <w:p w14:paraId="5E0EF503" w14:textId="1DAC1A53"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PIR</w:t>
            </w:r>
            <w:r w:rsidR="001117BB" w:rsidRPr="0033158E">
              <w:rPr>
                <w:rStyle w:val="bold"/>
                <w:rFonts w:ascii="Arial" w:hAnsi="Arial" w:cs="Arial"/>
                <w:b w:val="0"/>
                <w:color w:val="auto"/>
              </w:rPr>
              <w:br/>
            </w:r>
            <w:r w:rsidRPr="0033158E">
              <w:rPr>
                <w:rStyle w:val="bold"/>
                <w:rFonts w:ascii="Arial" w:hAnsi="Arial" w:cs="Arial"/>
                <w:b w:val="0"/>
                <w:color w:val="auto"/>
              </w:rPr>
              <w:t xml:space="preserve"> required</w:t>
            </w:r>
          </w:p>
        </w:tc>
      </w:tr>
      <w:tr w:rsidR="000A5CFA" w:rsidRPr="00490DCE" w14:paraId="0E5F2E1F"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19D7FF05" w14:textId="77777777" w:rsidR="000A5CFA" w:rsidRPr="001117BB" w:rsidRDefault="000A5CFA">
            <w:pPr>
              <w:pStyle w:val="body"/>
              <w:rPr>
                <w:rFonts w:ascii="Arial" w:hAnsi="Arial" w:cs="Arial"/>
                <w:b/>
                <w:color w:val="auto"/>
              </w:rPr>
            </w:pPr>
            <w:r w:rsidRPr="001117BB">
              <w:rPr>
                <w:rStyle w:val="bold"/>
                <w:rFonts w:ascii="Arial" w:hAnsi="Arial" w:cs="Arial"/>
                <w:b/>
                <w:color w:val="auto"/>
              </w:rPr>
              <w:t>Telecommunications Consumer Protection Code</w:t>
            </w:r>
          </w:p>
        </w:tc>
      </w:tr>
      <w:tr w:rsidR="000A5CFA" w:rsidRPr="00490DCE" w14:paraId="154326E5"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47923CA" w14:textId="77777777" w:rsidR="000A5CFA" w:rsidRPr="00490DCE" w:rsidRDefault="000A5CFA">
            <w:pPr>
              <w:pStyle w:val="NoParagraphStyle"/>
              <w:spacing w:line="240" w:lineRule="auto"/>
              <w:textAlignment w:val="auto"/>
              <w:rPr>
                <w:rFonts w:ascii="Arial" w:hAnsi="Arial" w:cs="Arial"/>
                <w:color w:val="auto"/>
                <w:lang w:val="en-US"/>
              </w:rPr>
            </w:pPr>
          </w:p>
        </w:tc>
        <w:tc>
          <w:tcPr>
            <w:tcW w:w="2770" w:type="pct"/>
          </w:tcPr>
          <w:p w14:paraId="665EF5FD"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ACMA registers a new Telecommunications Consumer Protections Code (C628:2012).</w:t>
            </w:r>
          </w:p>
        </w:tc>
        <w:tc>
          <w:tcPr>
            <w:cnfStyle w:val="000010000000" w:firstRow="0" w:lastRow="0" w:firstColumn="0" w:lastColumn="0" w:oddVBand="1" w:evenVBand="0" w:oddHBand="0" w:evenHBand="0" w:firstRowFirstColumn="0" w:firstRowLastColumn="0" w:lastRowFirstColumn="0" w:lastRowLastColumn="0"/>
            <w:tcW w:w="632" w:type="pct"/>
          </w:tcPr>
          <w:p w14:paraId="640FE39E"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1" w:type="pct"/>
          </w:tcPr>
          <w:p w14:paraId="509C162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32" w:type="pct"/>
          </w:tcPr>
          <w:p w14:paraId="0F0A329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385C836"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C37CB79" w14:textId="77777777" w:rsidR="000A5CFA" w:rsidRPr="001117BB" w:rsidRDefault="000A5CFA">
            <w:pPr>
              <w:pStyle w:val="body"/>
              <w:rPr>
                <w:rFonts w:ascii="Arial" w:hAnsi="Arial" w:cs="Arial"/>
                <w:b/>
                <w:color w:val="auto"/>
              </w:rPr>
            </w:pPr>
            <w:r w:rsidRPr="001117BB">
              <w:rPr>
                <w:rStyle w:val="bold"/>
                <w:rFonts w:ascii="Arial" w:hAnsi="Arial" w:cs="Arial"/>
                <w:b/>
                <w:color w:val="auto"/>
              </w:rPr>
              <w:t>Opportunity Cost Pricing in the 400MHz Band</w:t>
            </w:r>
          </w:p>
        </w:tc>
      </w:tr>
      <w:tr w:rsidR="000A5CFA" w:rsidRPr="00490DCE" w14:paraId="672661D0"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E5E7EA3" w14:textId="77777777" w:rsidR="000A5CFA" w:rsidRPr="00490DCE" w:rsidRDefault="000A5CFA">
            <w:pPr>
              <w:pStyle w:val="NoParagraphStyle"/>
              <w:spacing w:line="240" w:lineRule="auto"/>
              <w:textAlignment w:val="auto"/>
              <w:rPr>
                <w:rFonts w:ascii="Arial" w:hAnsi="Arial" w:cs="Arial"/>
                <w:color w:val="auto"/>
                <w:lang w:val="en-US"/>
              </w:rPr>
            </w:pPr>
          </w:p>
        </w:tc>
        <w:tc>
          <w:tcPr>
            <w:tcW w:w="2770" w:type="pct"/>
          </w:tcPr>
          <w:p w14:paraId="5A2CDD79"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ACMA increases apparatus licence taxes to a new opportunity cost price for high density areas of the 400MHz band.</w:t>
            </w:r>
          </w:p>
        </w:tc>
        <w:tc>
          <w:tcPr>
            <w:cnfStyle w:val="000010000000" w:firstRow="0" w:lastRow="0" w:firstColumn="0" w:lastColumn="0" w:oddVBand="1" w:evenVBand="0" w:oddHBand="0" w:evenHBand="0" w:firstRowFirstColumn="0" w:firstRowLastColumn="0" w:lastRowFirstColumn="0" w:lastRowLastColumn="0"/>
            <w:tcW w:w="632" w:type="pct"/>
          </w:tcPr>
          <w:p w14:paraId="063955E2"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1" w:type="pct"/>
          </w:tcPr>
          <w:p w14:paraId="60A07A4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32" w:type="pct"/>
          </w:tcPr>
          <w:p w14:paraId="07807C1F"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8A20C89"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6835D60" w14:textId="77777777" w:rsidR="000A5CFA" w:rsidRPr="001117BB" w:rsidRDefault="000A5CFA">
            <w:pPr>
              <w:pStyle w:val="body"/>
              <w:rPr>
                <w:rFonts w:ascii="Arial" w:hAnsi="Arial" w:cs="Arial"/>
                <w:b/>
                <w:color w:val="auto"/>
              </w:rPr>
            </w:pPr>
            <w:r w:rsidRPr="001117BB">
              <w:rPr>
                <w:rStyle w:val="bold"/>
                <w:rFonts w:ascii="Arial" w:hAnsi="Arial" w:cs="Arial"/>
                <w:b/>
                <w:color w:val="auto"/>
              </w:rPr>
              <w:t>Digital Dividend Auction Lot Size</w:t>
            </w:r>
          </w:p>
        </w:tc>
      </w:tr>
      <w:tr w:rsidR="000A5CFA" w:rsidRPr="00490DCE" w14:paraId="5306DEEF"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BC7A362" w14:textId="77777777" w:rsidR="000A5CFA" w:rsidRPr="00490DCE" w:rsidRDefault="000A5CFA">
            <w:pPr>
              <w:pStyle w:val="NoParagraphStyle"/>
              <w:spacing w:line="240" w:lineRule="auto"/>
              <w:textAlignment w:val="auto"/>
              <w:rPr>
                <w:rFonts w:ascii="Arial" w:hAnsi="Arial" w:cs="Arial"/>
                <w:color w:val="auto"/>
                <w:lang w:val="en-US"/>
              </w:rPr>
            </w:pPr>
          </w:p>
        </w:tc>
        <w:tc>
          <w:tcPr>
            <w:tcW w:w="2770" w:type="pct"/>
          </w:tcPr>
          <w:p w14:paraId="74D3C89B"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Determines the size of lots to be auctioned in the 700MHz and 2.5GHz spectrum.</w:t>
            </w:r>
          </w:p>
        </w:tc>
        <w:tc>
          <w:tcPr>
            <w:cnfStyle w:val="000010000000" w:firstRow="0" w:lastRow="0" w:firstColumn="0" w:lastColumn="0" w:oddVBand="1" w:evenVBand="0" w:oddHBand="0" w:evenHBand="0" w:firstRowFirstColumn="0" w:firstRowLastColumn="0" w:lastRowFirstColumn="0" w:lastRowLastColumn="0"/>
            <w:tcW w:w="632" w:type="pct"/>
          </w:tcPr>
          <w:p w14:paraId="7BC3D29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1" w:type="pct"/>
          </w:tcPr>
          <w:p w14:paraId="227428C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32" w:type="pct"/>
          </w:tcPr>
          <w:p w14:paraId="5D4C4BDA"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49A35083" w14:textId="77777777" w:rsidR="000A5CFA" w:rsidRPr="00490DCE" w:rsidRDefault="000A5CFA">
      <w:pPr>
        <w:pStyle w:val="body"/>
        <w:rPr>
          <w:rFonts w:ascii="Arial" w:hAnsi="Arial" w:cs="Arial"/>
          <w:color w:val="auto"/>
          <w:sz w:val="22"/>
          <w:szCs w:val="22"/>
          <w:lang w:val="en-AU"/>
        </w:rPr>
      </w:pPr>
    </w:p>
    <w:p w14:paraId="19549BB1" w14:textId="77777777" w:rsidR="000A5CFA" w:rsidRPr="00490DCE" w:rsidRDefault="000A5CFA">
      <w:pPr>
        <w:pStyle w:val="tabletitle"/>
        <w:rPr>
          <w:rFonts w:cs="Arial"/>
        </w:rPr>
      </w:pPr>
      <w:r w:rsidRPr="00490DCE">
        <w:rPr>
          <w:rFonts w:cs="Arial"/>
        </w:rPr>
        <w:t>3.1.3 Australian Fisheries Management Authority</w:t>
      </w:r>
    </w:p>
    <w:tbl>
      <w:tblPr>
        <w:tblStyle w:val="LightList"/>
        <w:tblW w:w="5000" w:type="pct"/>
        <w:tblLook w:val="0020" w:firstRow="1" w:lastRow="0" w:firstColumn="0" w:lastColumn="0" w:noHBand="0" w:noVBand="0"/>
        <w:tblDescription w:val="2012-13 RIS compliance - Australian Fisheries Management Authority"/>
      </w:tblPr>
      <w:tblGrid>
        <w:gridCol w:w="699"/>
        <w:gridCol w:w="5448"/>
        <w:gridCol w:w="1235"/>
        <w:gridCol w:w="1233"/>
        <w:gridCol w:w="1233"/>
      </w:tblGrid>
      <w:tr w:rsidR="000A5CFA" w:rsidRPr="00490DCE" w14:paraId="4AE7FE84"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DE59091"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3DDCE7A"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11BE0C0"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6589F493"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78788889"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26" w:type="pct"/>
          </w:tcPr>
          <w:p w14:paraId="431AE781"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7A3023E4" w14:textId="6E7AB3AC"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 xml:space="preserve">PIR </w:t>
            </w:r>
            <w:r w:rsidR="001117BB" w:rsidRPr="0033158E">
              <w:rPr>
                <w:rStyle w:val="bold"/>
                <w:rFonts w:ascii="Arial" w:hAnsi="Arial" w:cs="Arial"/>
                <w:b w:val="0"/>
                <w:color w:val="auto"/>
              </w:rPr>
              <w:br/>
            </w:r>
            <w:r w:rsidRPr="0033158E">
              <w:rPr>
                <w:rStyle w:val="bold"/>
                <w:rFonts w:ascii="Arial" w:hAnsi="Arial" w:cs="Arial"/>
                <w:b w:val="0"/>
                <w:color w:val="auto"/>
              </w:rPr>
              <w:t>required</w:t>
            </w:r>
          </w:p>
        </w:tc>
      </w:tr>
      <w:tr w:rsidR="000A5CFA" w:rsidRPr="00490DCE" w14:paraId="2D1EB76F"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0F46E07C" w14:textId="77777777" w:rsidR="000A5CFA" w:rsidRPr="001117BB" w:rsidRDefault="000A5CFA" w:rsidP="002C252F">
            <w:pPr>
              <w:pStyle w:val="body"/>
              <w:rPr>
                <w:rFonts w:ascii="Arial" w:hAnsi="Arial" w:cs="Arial"/>
                <w:b/>
                <w:color w:val="auto"/>
              </w:rPr>
            </w:pPr>
            <w:r w:rsidRPr="001117BB">
              <w:rPr>
                <w:rStyle w:val="bold"/>
                <w:rFonts w:ascii="Arial" w:hAnsi="Arial" w:cs="Arial"/>
                <w:b/>
                <w:color w:val="auto"/>
              </w:rPr>
              <w:t xml:space="preserve">Managing interactions with Dolphins in the Gillnet Hook and Trap Sector of the Southern and Eastern </w:t>
            </w:r>
            <w:proofErr w:type="spellStart"/>
            <w:r w:rsidRPr="001117BB">
              <w:rPr>
                <w:rStyle w:val="bold"/>
                <w:rFonts w:ascii="Arial" w:hAnsi="Arial" w:cs="Arial"/>
                <w:b/>
                <w:color w:val="auto"/>
              </w:rPr>
              <w:t>Scalefish</w:t>
            </w:r>
            <w:proofErr w:type="spellEnd"/>
            <w:r w:rsidRPr="001117BB">
              <w:rPr>
                <w:rStyle w:val="bold"/>
                <w:rFonts w:ascii="Arial" w:hAnsi="Arial" w:cs="Arial"/>
                <w:b/>
                <w:color w:val="auto"/>
              </w:rPr>
              <w:t xml:space="preserve"> and Shark Fishery </w:t>
            </w:r>
          </w:p>
        </w:tc>
      </w:tr>
      <w:tr w:rsidR="000A5CFA" w:rsidRPr="00490DCE" w14:paraId="6DC425F5"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E6FF49E"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8081C53"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 xml:space="preserve">A continuation of measures contained in previous temporary orders, aimed at protecting dolphins from commercial fishing activity. </w:t>
            </w:r>
          </w:p>
        </w:tc>
        <w:tc>
          <w:tcPr>
            <w:cnfStyle w:val="000010000000" w:firstRow="0" w:lastRow="0" w:firstColumn="0" w:lastColumn="0" w:oddVBand="1" w:evenVBand="0" w:oddHBand="0" w:evenHBand="0" w:firstRowFirstColumn="0" w:firstRowLastColumn="0" w:lastRowFirstColumn="0" w:lastRowLastColumn="0"/>
            <w:tcW w:w="627" w:type="pct"/>
          </w:tcPr>
          <w:p w14:paraId="6A338E91"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6F1389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F15434F"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3F429C7"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18F11660" w14:textId="77777777" w:rsidR="000A5CFA" w:rsidRPr="001117BB" w:rsidRDefault="000A5CFA" w:rsidP="002C252F">
            <w:pPr>
              <w:pStyle w:val="body"/>
              <w:rPr>
                <w:rFonts w:ascii="Arial" w:hAnsi="Arial" w:cs="Arial"/>
                <w:b/>
                <w:color w:val="auto"/>
              </w:rPr>
            </w:pPr>
            <w:r w:rsidRPr="001117BB">
              <w:rPr>
                <w:rStyle w:val="bold"/>
                <w:rFonts w:ascii="Arial" w:hAnsi="Arial" w:cs="Arial"/>
                <w:b/>
                <w:color w:val="auto"/>
              </w:rPr>
              <w:t xml:space="preserve">Managing Interactions with Australian Sea Lions in the Gillnet Hook and Trap Sector of the Southern and Eastern </w:t>
            </w:r>
            <w:proofErr w:type="spellStart"/>
            <w:r w:rsidRPr="001117BB">
              <w:rPr>
                <w:rStyle w:val="bold"/>
                <w:rFonts w:ascii="Arial" w:hAnsi="Arial" w:cs="Arial"/>
                <w:b/>
                <w:color w:val="auto"/>
              </w:rPr>
              <w:t>Scalefish</w:t>
            </w:r>
            <w:proofErr w:type="spellEnd"/>
            <w:r w:rsidRPr="001117BB">
              <w:rPr>
                <w:rStyle w:val="bold"/>
                <w:rFonts w:ascii="Arial" w:hAnsi="Arial" w:cs="Arial"/>
                <w:b/>
                <w:color w:val="auto"/>
              </w:rPr>
              <w:t xml:space="preserve"> and Shark Fishery </w:t>
            </w:r>
          </w:p>
        </w:tc>
      </w:tr>
      <w:tr w:rsidR="000A5CFA" w:rsidRPr="00490DCE" w14:paraId="1E74E128"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8F3AD60"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74F4645" w14:textId="18F6C384" w:rsidR="000A5CFA" w:rsidRPr="001117BB" w:rsidRDefault="000A5CFA" w:rsidP="001117BB">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 xml:space="preserve">A two year continuation of closures, aimed at protecting Australian Sea Lions in the Southern and Eastern </w:t>
            </w:r>
            <w:proofErr w:type="spellStart"/>
            <w:r w:rsidRPr="001117BB">
              <w:rPr>
                <w:rStyle w:val="italic"/>
                <w:rFonts w:ascii="Arial" w:hAnsi="Arial" w:cs="Arial"/>
                <w:i/>
                <w:color w:val="auto"/>
              </w:rPr>
              <w:t>Scalefish</w:t>
            </w:r>
            <w:proofErr w:type="spellEnd"/>
            <w:r w:rsidRPr="001117BB">
              <w:rPr>
                <w:rStyle w:val="italic"/>
                <w:rFonts w:ascii="Arial" w:hAnsi="Arial" w:cs="Arial"/>
                <w:i/>
                <w:color w:val="auto"/>
              </w:rPr>
              <w:t xml:space="preserve"> and Shark Fishery. </w:t>
            </w:r>
          </w:p>
        </w:tc>
        <w:tc>
          <w:tcPr>
            <w:cnfStyle w:val="000010000000" w:firstRow="0" w:lastRow="0" w:firstColumn="0" w:lastColumn="0" w:oddVBand="1" w:evenVBand="0" w:oddHBand="0" w:evenHBand="0" w:firstRowFirstColumn="0" w:firstRowLastColumn="0" w:lastRowFirstColumn="0" w:lastRowLastColumn="0"/>
            <w:tcW w:w="627" w:type="pct"/>
          </w:tcPr>
          <w:p w14:paraId="77478B6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EBC9D9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4F60D9B"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5A316743" w14:textId="1176E2DF" w:rsidR="000A5CFA" w:rsidRPr="00490DCE" w:rsidRDefault="000A5CFA">
      <w:pPr>
        <w:pStyle w:val="tabletitle"/>
        <w:rPr>
          <w:rFonts w:cs="Arial"/>
        </w:rPr>
      </w:pPr>
      <w:r w:rsidRPr="00490DCE">
        <w:rPr>
          <w:rFonts w:cs="Arial"/>
        </w:rPr>
        <w:t>3.1.4 Australian Prudential Regulation Authority</w:t>
      </w:r>
    </w:p>
    <w:tbl>
      <w:tblPr>
        <w:tblStyle w:val="LightList"/>
        <w:tblW w:w="5000" w:type="pct"/>
        <w:tblLook w:val="0020" w:firstRow="1" w:lastRow="0" w:firstColumn="0" w:lastColumn="0" w:noHBand="0" w:noVBand="0"/>
        <w:tblDescription w:val="2012-13 RIS compliance - Australian Prudential Regulation Authority"/>
      </w:tblPr>
      <w:tblGrid>
        <w:gridCol w:w="700"/>
        <w:gridCol w:w="5489"/>
        <w:gridCol w:w="1219"/>
        <w:gridCol w:w="1219"/>
        <w:gridCol w:w="1221"/>
      </w:tblGrid>
      <w:tr w:rsidR="000A5CFA" w:rsidRPr="00490DCE" w14:paraId="7BE33FF0"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45354A6"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43EEDC4E"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5818E002"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87" w:type="pct"/>
          </w:tcPr>
          <w:p w14:paraId="4D569673"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19" w:type="pct"/>
          </w:tcPr>
          <w:p w14:paraId="0DD69EEF"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19" w:type="pct"/>
          </w:tcPr>
          <w:p w14:paraId="7D9BF28A"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0" w:type="pct"/>
          </w:tcPr>
          <w:p w14:paraId="62B48F6B"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PIR required</w:t>
            </w:r>
          </w:p>
        </w:tc>
      </w:tr>
      <w:tr w:rsidR="000A5CFA" w:rsidRPr="00490DCE" w14:paraId="69201D26"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D866D69" w14:textId="77777777" w:rsidR="000A5CFA" w:rsidRPr="001117BB" w:rsidRDefault="000A5CFA">
            <w:pPr>
              <w:pStyle w:val="body"/>
              <w:rPr>
                <w:rFonts w:ascii="Arial" w:hAnsi="Arial" w:cs="Arial"/>
                <w:b/>
                <w:color w:val="auto"/>
              </w:rPr>
            </w:pPr>
            <w:r w:rsidRPr="001117BB">
              <w:rPr>
                <w:rStyle w:val="bold"/>
                <w:rFonts w:ascii="Arial" w:hAnsi="Arial" w:cs="Arial"/>
                <w:b/>
                <w:color w:val="auto"/>
              </w:rPr>
              <w:t>Implementing Basel III Capital Reforms in Australia</w:t>
            </w:r>
          </w:p>
        </w:tc>
      </w:tr>
      <w:tr w:rsidR="000A5CFA" w:rsidRPr="00490DCE" w14:paraId="61C5C58E"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00B2A00" w14:textId="77777777" w:rsidR="000A5CFA" w:rsidRPr="00490DCE" w:rsidRDefault="000A5CFA">
            <w:pPr>
              <w:pStyle w:val="NoParagraphStyle"/>
              <w:spacing w:line="240" w:lineRule="auto"/>
              <w:textAlignment w:val="auto"/>
              <w:rPr>
                <w:rFonts w:ascii="Arial" w:hAnsi="Arial" w:cs="Arial"/>
                <w:color w:val="auto"/>
                <w:lang w:val="en-US"/>
              </w:rPr>
            </w:pPr>
          </w:p>
        </w:tc>
        <w:tc>
          <w:tcPr>
            <w:tcW w:w="2787" w:type="pct"/>
          </w:tcPr>
          <w:p w14:paraId="17570AC2"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spacing w:val="-2"/>
              </w:rPr>
              <w:t>Implements measures intended to raise the quality and level of capital of Australian financial institutions.</w:t>
            </w:r>
          </w:p>
        </w:tc>
        <w:tc>
          <w:tcPr>
            <w:cnfStyle w:val="000010000000" w:firstRow="0" w:lastRow="0" w:firstColumn="0" w:lastColumn="0" w:oddVBand="1" w:evenVBand="0" w:oddHBand="0" w:evenHBand="0" w:firstRowFirstColumn="0" w:firstRowLastColumn="0" w:lastRowFirstColumn="0" w:lastRowLastColumn="0"/>
            <w:tcW w:w="619" w:type="pct"/>
          </w:tcPr>
          <w:p w14:paraId="0144764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9" w:type="pct"/>
          </w:tcPr>
          <w:p w14:paraId="3A79D49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0" w:type="pct"/>
          </w:tcPr>
          <w:p w14:paraId="6EDE5091"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E40964C"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B38D497" w14:textId="77777777" w:rsidR="000A5CFA" w:rsidRPr="001117BB" w:rsidRDefault="000A5CFA">
            <w:pPr>
              <w:pStyle w:val="body"/>
              <w:rPr>
                <w:rFonts w:ascii="Arial" w:hAnsi="Arial" w:cs="Arial"/>
                <w:b/>
                <w:color w:val="auto"/>
              </w:rPr>
            </w:pPr>
            <w:r w:rsidRPr="001117BB">
              <w:rPr>
                <w:rStyle w:val="bold"/>
                <w:rFonts w:ascii="Arial" w:hAnsi="Arial" w:cs="Arial"/>
                <w:b/>
                <w:color w:val="auto"/>
              </w:rPr>
              <w:t xml:space="preserve">Superannuation Prudential Standards </w:t>
            </w:r>
          </w:p>
        </w:tc>
      </w:tr>
      <w:tr w:rsidR="000A5CFA" w:rsidRPr="00490DCE" w14:paraId="64DEFE18"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ED2BBC0" w14:textId="77777777" w:rsidR="000A5CFA" w:rsidRPr="00490DCE" w:rsidRDefault="000A5CFA">
            <w:pPr>
              <w:pStyle w:val="NoParagraphStyle"/>
              <w:spacing w:line="240" w:lineRule="auto"/>
              <w:textAlignment w:val="auto"/>
              <w:rPr>
                <w:rFonts w:ascii="Arial" w:hAnsi="Arial" w:cs="Arial"/>
                <w:color w:val="auto"/>
                <w:lang w:val="en-US"/>
              </w:rPr>
            </w:pPr>
          </w:p>
        </w:tc>
        <w:tc>
          <w:tcPr>
            <w:tcW w:w="2787" w:type="pct"/>
          </w:tcPr>
          <w:p w14:paraId="15797BEF"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 xml:space="preserve">Introduces eleven new prudential standards for </w:t>
            </w:r>
            <w:proofErr w:type="spellStart"/>
            <w:r w:rsidRPr="001117BB">
              <w:rPr>
                <w:rStyle w:val="italic"/>
                <w:rFonts w:ascii="Arial" w:hAnsi="Arial" w:cs="Arial"/>
                <w:i/>
                <w:color w:val="auto"/>
              </w:rPr>
              <w:t>registrable</w:t>
            </w:r>
            <w:proofErr w:type="spellEnd"/>
            <w:r w:rsidRPr="001117BB">
              <w:rPr>
                <w:rStyle w:val="italic"/>
                <w:rFonts w:ascii="Arial" w:hAnsi="Arial" w:cs="Arial"/>
                <w:i/>
                <w:color w:val="auto"/>
              </w:rPr>
              <w:t xml:space="preserve"> superannuation entities. </w:t>
            </w:r>
          </w:p>
        </w:tc>
        <w:tc>
          <w:tcPr>
            <w:cnfStyle w:val="000010000000" w:firstRow="0" w:lastRow="0" w:firstColumn="0" w:lastColumn="0" w:oddVBand="1" w:evenVBand="0" w:oddHBand="0" w:evenHBand="0" w:firstRowFirstColumn="0" w:firstRowLastColumn="0" w:lastRowFirstColumn="0" w:lastRowLastColumn="0"/>
            <w:tcW w:w="619" w:type="pct"/>
          </w:tcPr>
          <w:p w14:paraId="709448B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9" w:type="pct"/>
          </w:tcPr>
          <w:p w14:paraId="03B6FDA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0" w:type="pct"/>
          </w:tcPr>
          <w:p w14:paraId="1E2DFA10"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9D0BE88"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9C6C718" w14:textId="77777777" w:rsidR="000A5CFA" w:rsidRPr="001117BB" w:rsidRDefault="000A5CFA">
            <w:pPr>
              <w:pStyle w:val="body"/>
              <w:rPr>
                <w:rFonts w:ascii="Arial" w:hAnsi="Arial" w:cs="Arial"/>
                <w:b/>
                <w:color w:val="auto"/>
              </w:rPr>
            </w:pPr>
            <w:r w:rsidRPr="001117BB">
              <w:rPr>
                <w:rStyle w:val="bold"/>
                <w:rFonts w:ascii="Arial" w:hAnsi="Arial" w:cs="Arial"/>
                <w:b/>
                <w:color w:val="auto"/>
              </w:rPr>
              <w:t xml:space="preserve">Superannuation Reporting Standards </w:t>
            </w:r>
          </w:p>
        </w:tc>
      </w:tr>
      <w:tr w:rsidR="000A5CFA" w:rsidRPr="00490DCE" w14:paraId="1A927D39"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82A46F1" w14:textId="77777777" w:rsidR="000A5CFA" w:rsidRPr="00490DCE" w:rsidRDefault="000A5CFA">
            <w:pPr>
              <w:pStyle w:val="NoParagraphStyle"/>
              <w:spacing w:line="240" w:lineRule="auto"/>
              <w:textAlignment w:val="auto"/>
              <w:rPr>
                <w:rFonts w:ascii="Arial" w:hAnsi="Arial" w:cs="Arial"/>
                <w:color w:val="auto"/>
                <w:lang w:val="en-US"/>
              </w:rPr>
            </w:pPr>
          </w:p>
        </w:tc>
        <w:tc>
          <w:tcPr>
            <w:tcW w:w="2787" w:type="pct"/>
          </w:tcPr>
          <w:p w14:paraId="28F055BB"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 xml:space="preserve">Prescribes new reporting obligations for responsible entities of regulated superannuation funds. </w:t>
            </w:r>
          </w:p>
        </w:tc>
        <w:tc>
          <w:tcPr>
            <w:cnfStyle w:val="000010000000" w:firstRow="0" w:lastRow="0" w:firstColumn="0" w:lastColumn="0" w:oddVBand="1" w:evenVBand="0" w:oddHBand="0" w:evenHBand="0" w:firstRowFirstColumn="0" w:firstRowLastColumn="0" w:lastRowFirstColumn="0" w:lastRowLastColumn="0"/>
            <w:tcW w:w="619" w:type="pct"/>
          </w:tcPr>
          <w:p w14:paraId="2715BA08"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9" w:type="pct"/>
          </w:tcPr>
          <w:p w14:paraId="078E893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0" w:type="pct"/>
          </w:tcPr>
          <w:p w14:paraId="0233DC2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5EB165BB"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00DAA325" w14:textId="77777777" w:rsidR="000A5CFA" w:rsidRPr="001117BB" w:rsidRDefault="000A5CFA">
            <w:pPr>
              <w:pStyle w:val="body"/>
              <w:rPr>
                <w:rFonts w:ascii="Arial" w:hAnsi="Arial" w:cs="Arial"/>
                <w:b/>
                <w:color w:val="auto"/>
              </w:rPr>
            </w:pPr>
            <w:r w:rsidRPr="001117BB">
              <w:rPr>
                <w:rStyle w:val="bold"/>
                <w:rFonts w:ascii="Arial" w:hAnsi="Arial" w:cs="Arial"/>
                <w:b/>
                <w:color w:val="auto"/>
              </w:rPr>
              <w:t>Basel III Disclosure Requirements: Composition of Capital and Remuneration</w:t>
            </w:r>
          </w:p>
        </w:tc>
      </w:tr>
      <w:tr w:rsidR="000A5CFA" w:rsidRPr="00490DCE" w14:paraId="3EAC124A"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698A5FA" w14:textId="77777777" w:rsidR="000A5CFA" w:rsidRPr="00490DCE" w:rsidRDefault="000A5CFA">
            <w:pPr>
              <w:pStyle w:val="NoParagraphStyle"/>
              <w:spacing w:line="240" w:lineRule="auto"/>
              <w:textAlignment w:val="auto"/>
              <w:rPr>
                <w:rFonts w:ascii="Arial" w:hAnsi="Arial" w:cs="Arial"/>
                <w:color w:val="auto"/>
                <w:lang w:val="en-US"/>
              </w:rPr>
            </w:pPr>
          </w:p>
        </w:tc>
        <w:tc>
          <w:tcPr>
            <w:tcW w:w="2787" w:type="pct"/>
          </w:tcPr>
          <w:p w14:paraId="39245478" w14:textId="77777777" w:rsidR="000A5CFA" w:rsidRPr="001117B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1117BB">
              <w:rPr>
                <w:rStyle w:val="italic"/>
                <w:rFonts w:ascii="Arial" w:hAnsi="Arial" w:cs="Arial"/>
                <w:i/>
                <w:color w:val="auto"/>
              </w:rPr>
              <w:t xml:space="preserve">Enhancing public disclosure by authorised deposit-taking institutions in Australia regarding capital position and remuneration practices. </w:t>
            </w:r>
          </w:p>
        </w:tc>
        <w:tc>
          <w:tcPr>
            <w:cnfStyle w:val="000010000000" w:firstRow="0" w:lastRow="0" w:firstColumn="0" w:lastColumn="0" w:oddVBand="1" w:evenVBand="0" w:oddHBand="0" w:evenHBand="0" w:firstRowFirstColumn="0" w:firstRowLastColumn="0" w:lastRowFirstColumn="0" w:lastRowLastColumn="0"/>
            <w:tcW w:w="619" w:type="pct"/>
          </w:tcPr>
          <w:p w14:paraId="41C9419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19" w:type="pct"/>
          </w:tcPr>
          <w:p w14:paraId="60E6B21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0" w:type="pct"/>
          </w:tcPr>
          <w:p w14:paraId="0D4C2ECC"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6A4673FA" w14:textId="77777777" w:rsidR="000A5CFA" w:rsidRPr="00490DCE" w:rsidRDefault="000A5CFA">
      <w:pPr>
        <w:pStyle w:val="body"/>
        <w:rPr>
          <w:rFonts w:ascii="Arial" w:hAnsi="Arial" w:cs="Arial"/>
          <w:color w:val="auto"/>
          <w:sz w:val="22"/>
          <w:szCs w:val="22"/>
          <w:lang w:val="en-AU"/>
        </w:rPr>
      </w:pPr>
    </w:p>
    <w:p w14:paraId="2BDC2885" w14:textId="77777777" w:rsidR="000A5CFA" w:rsidRPr="00490DCE" w:rsidRDefault="000A5CFA">
      <w:pPr>
        <w:pStyle w:val="tabletitle"/>
        <w:rPr>
          <w:rFonts w:cs="Arial"/>
        </w:rPr>
      </w:pPr>
      <w:r w:rsidRPr="00490DCE">
        <w:rPr>
          <w:rFonts w:cs="Arial"/>
        </w:rPr>
        <w:t>3.1.5 Australian Securities and Investments Commission</w:t>
      </w:r>
    </w:p>
    <w:tbl>
      <w:tblPr>
        <w:tblStyle w:val="LightList"/>
        <w:tblW w:w="5000" w:type="pct"/>
        <w:tblLook w:val="0020" w:firstRow="1" w:lastRow="0" w:firstColumn="0" w:lastColumn="0" w:noHBand="0" w:noVBand="0"/>
        <w:tblDescription w:val="2012-13 RIS compliance - Australian Securities and Investments Commission"/>
      </w:tblPr>
      <w:tblGrid>
        <w:gridCol w:w="699"/>
        <w:gridCol w:w="5448"/>
        <w:gridCol w:w="1235"/>
        <w:gridCol w:w="1233"/>
        <w:gridCol w:w="1233"/>
      </w:tblGrid>
      <w:tr w:rsidR="000A5CFA" w:rsidRPr="00490DCE" w14:paraId="2314F6F7"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80B42F8"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4019A043"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76533785"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7185E8B1"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393CC669"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6B948A93"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3C9520D7" w14:textId="428ABB12"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 xml:space="preserve">PIR </w:t>
            </w:r>
            <w:r w:rsidR="00AB7EF9" w:rsidRPr="0033158E">
              <w:rPr>
                <w:rFonts w:ascii="Arial" w:hAnsi="Arial" w:cs="Arial"/>
                <w:b w:val="0"/>
                <w:color w:val="auto"/>
              </w:rPr>
              <w:br/>
            </w:r>
            <w:r w:rsidRPr="0033158E">
              <w:rPr>
                <w:rFonts w:ascii="Arial" w:hAnsi="Arial" w:cs="Arial"/>
                <w:b w:val="0"/>
                <w:color w:val="auto"/>
              </w:rPr>
              <w:t>required</w:t>
            </w:r>
          </w:p>
        </w:tc>
      </w:tr>
      <w:tr w:rsidR="000A5CFA" w:rsidRPr="00490DCE" w14:paraId="77054FAF"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226011C" w14:textId="77777777" w:rsidR="000A5CFA" w:rsidRPr="00ED30AB" w:rsidRDefault="000A5CFA">
            <w:pPr>
              <w:pStyle w:val="body"/>
              <w:rPr>
                <w:rFonts w:ascii="Arial" w:hAnsi="Arial" w:cs="Arial"/>
                <w:b/>
                <w:color w:val="auto"/>
              </w:rPr>
            </w:pPr>
            <w:r w:rsidRPr="00ED30AB">
              <w:rPr>
                <w:rStyle w:val="bold"/>
                <w:rFonts w:ascii="Arial" w:hAnsi="Arial" w:cs="Arial"/>
                <w:b/>
                <w:color w:val="auto"/>
              </w:rPr>
              <w:t>Short Sale Tagging</w:t>
            </w:r>
          </w:p>
        </w:tc>
      </w:tr>
      <w:tr w:rsidR="000A5CFA" w:rsidRPr="00490DCE" w14:paraId="21D60556"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21CED57A"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6E06830"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Obligates market participants to specify the quantity of sell orders that are short sale.</w:t>
            </w:r>
          </w:p>
        </w:tc>
        <w:tc>
          <w:tcPr>
            <w:cnfStyle w:val="000010000000" w:firstRow="0" w:lastRow="0" w:firstColumn="0" w:lastColumn="0" w:oddVBand="1" w:evenVBand="0" w:oddHBand="0" w:evenHBand="0" w:firstRowFirstColumn="0" w:firstRowLastColumn="0" w:lastRowFirstColumn="0" w:lastRowLastColumn="0"/>
            <w:tcW w:w="627" w:type="pct"/>
          </w:tcPr>
          <w:p w14:paraId="3A09BC20"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282E46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2820A68"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0D6FEFA6"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A9767A5" w14:textId="77777777" w:rsidR="000A5CFA" w:rsidRPr="00ED30AB" w:rsidRDefault="000A5CFA">
            <w:pPr>
              <w:pStyle w:val="body"/>
              <w:rPr>
                <w:rFonts w:ascii="Arial" w:hAnsi="Arial" w:cs="Arial"/>
                <w:b/>
                <w:color w:val="auto"/>
              </w:rPr>
            </w:pPr>
            <w:r w:rsidRPr="00ED30AB">
              <w:rPr>
                <w:rStyle w:val="bold"/>
                <w:rFonts w:ascii="Arial" w:hAnsi="Arial" w:cs="Arial"/>
                <w:b/>
                <w:color w:val="auto"/>
              </w:rPr>
              <w:t>Suspicious Activity Reporting</w:t>
            </w:r>
          </w:p>
        </w:tc>
      </w:tr>
      <w:tr w:rsidR="000A5CFA" w:rsidRPr="00490DCE" w14:paraId="1A4DCA94"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A496A74"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D85B1FF"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Obligates market participants to notify ASIC when they become aware of suspicious trading activity.</w:t>
            </w:r>
          </w:p>
        </w:tc>
        <w:tc>
          <w:tcPr>
            <w:cnfStyle w:val="000010000000" w:firstRow="0" w:lastRow="0" w:firstColumn="0" w:lastColumn="0" w:oddVBand="1" w:evenVBand="0" w:oddHBand="0" w:evenHBand="0" w:firstRowFirstColumn="0" w:firstRowLastColumn="0" w:lastRowFirstColumn="0" w:lastRowLastColumn="0"/>
            <w:tcW w:w="627" w:type="pct"/>
          </w:tcPr>
          <w:p w14:paraId="5D0A2C8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6A5BD77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064E90F"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2AD6D0B"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35615959"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Australian Equity Market: Further Proposals</w:t>
            </w:r>
          </w:p>
        </w:tc>
      </w:tr>
      <w:tr w:rsidR="000A5CFA" w:rsidRPr="00490DCE" w14:paraId="77727E21"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23D244E"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EA667A0"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New rules and guidance to address risks associated with automated and high-frequency trading, and trading in ‘dark pools’.</w:t>
            </w:r>
          </w:p>
        </w:tc>
        <w:tc>
          <w:tcPr>
            <w:cnfStyle w:val="000010000000" w:firstRow="0" w:lastRow="0" w:firstColumn="0" w:lastColumn="0" w:oddVBand="1" w:evenVBand="0" w:oddHBand="0" w:evenHBand="0" w:firstRowFirstColumn="0" w:firstRowLastColumn="0" w:lastRowFirstColumn="0" w:lastRowLastColumn="0"/>
            <w:tcW w:w="627" w:type="pct"/>
          </w:tcPr>
          <w:p w14:paraId="50E2542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5C3EDE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889BF09"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A7EB7FE"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7E5DAB39" w14:textId="77777777" w:rsidR="000A5CFA" w:rsidRPr="00ED30AB" w:rsidRDefault="000A5CFA">
            <w:pPr>
              <w:pStyle w:val="body"/>
              <w:rPr>
                <w:rFonts w:ascii="Arial" w:hAnsi="Arial" w:cs="Arial"/>
                <w:b/>
                <w:color w:val="auto"/>
              </w:rPr>
            </w:pPr>
            <w:r w:rsidRPr="00ED30AB">
              <w:rPr>
                <w:rStyle w:val="bold"/>
                <w:rFonts w:ascii="Arial" w:hAnsi="Arial" w:cs="Arial"/>
                <w:b/>
                <w:color w:val="auto"/>
              </w:rPr>
              <w:t>Future of Financial Advice: Best Interests Duty and Related Obligations</w:t>
            </w:r>
          </w:p>
        </w:tc>
      </w:tr>
      <w:tr w:rsidR="000A5CFA" w:rsidRPr="00490DCE" w14:paraId="19EF5005"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A65891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4489D21"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 xml:space="preserve">Provides guidance for financial advisers on complying with the statutory best </w:t>
            </w:r>
            <w:proofErr w:type="gramStart"/>
            <w:r w:rsidRPr="00ED30AB">
              <w:rPr>
                <w:rStyle w:val="italic"/>
                <w:rFonts w:ascii="Arial" w:hAnsi="Arial" w:cs="Arial"/>
                <w:i/>
                <w:color w:val="auto"/>
              </w:rPr>
              <w:t>interests</w:t>
            </w:r>
            <w:proofErr w:type="gramEnd"/>
            <w:r w:rsidRPr="00ED30AB">
              <w:rPr>
                <w:rStyle w:val="italic"/>
                <w:rFonts w:ascii="Arial" w:hAnsi="Arial" w:cs="Arial"/>
                <w:i/>
                <w:color w:val="auto"/>
              </w:rPr>
              <w:t xml:space="preserve"> duty.</w:t>
            </w:r>
          </w:p>
        </w:tc>
        <w:tc>
          <w:tcPr>
            <w:cnfStyle w:val="000010000000" w:firstRow="0" w:lastRow="0" w:firstColumn="0" w:lastColumn="0" w:oddVBand="1" w:evenVBand="0" w:oddHBand="0" w:evenHBand="0" w:firstRowFirstColumn="0" w:firstRowLastColumn="0" w:lastRowFirstColumn="0" w:lastRowLastColumn="0"/>
            <w:tcW w:w="627" w:type="pct"/>
          </w:tcPr>
          <w:p w14:paraId="30C0E52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3243E7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507E577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DA010C4"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0CDDA217"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Hedge Funds: Improving Disclosure </w:t>
            </w:r>
          </w:p>
        </w:tc>
      </w:tr>
      <w:tr w:rsidR="000A5CFA" w:rsidRPr="00490DCE" w14:paraId="719CC6F8" w14:textId="77777777" w:rsidTr="002C252F">
        <w:trPr>
          <w:trHeight w:val="315"/>
        </w:trPr>
        <w:tc>
          <w:tcPr>
            <w:cnfStyle w:val="000010000000" w:firstRow="0" w:lastRow="0" w:firstColumn="0" w:lastColumn="0" w:oddVBand="1" w:evenVBand="0" w:oddHBand="0" w:evenHBand="0" w:firstRowFirstColumn="0" w:firstRowLastColumn="0" w:lastRowFirstColumn="0" w:lastRowLastColumn="0"/>
            <w:tcW w:w="355" w:type="pct"/>
          </w:tcPr>
          <w:p w14:paraId="70B002D2"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B692767"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5"/>
              </w:rPr>
              <w:t>Defines hedge funds and enhances disclosure to investors.</w:t>
            </w:r>
          </w:p>
        </w:tc>
        <w:tc>
          <w:tcPr>
            <w:cnfStyle w:val="000010000000" w:firstRow="0" w:lastRow="0" w:firstColumn="0" w:lastColumn="0" w:oddVBand="1" w:evenVBand="0" w:oddHBand="0" w:evenHBand="0" w:firstRowFirstColumn="0" w:firstRowLastColumn="0" w:lastRowFirstColumn="0" w:lastRowLastColumn="0"/>
            <w:tcW w:w="627" w:type="pct"/>
          </w:tcPr>
          <w:p w14:paraId="7C1970A8"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703DFD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AAFB417"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ADB8D0C"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268A1886" w14:textId="77777777" w:rsidR="000A5CFA" w:rsidRPr="00ED30AB" w:rsidRDefault="000A5CFA">
            <w:pPr>
              <w:pStyle w:val="body"/>
              <w:rPr>
                <w:rFonts w:ascii="Arial" w:hAnsi="Arial" w:cs="Arial"/>
                <w:b/>
                <w:color w:val="auto"/>
              </w:rPr>
            </w:pPr>
            <w:r w:rsidRPr="00ED30AB">
              <w:rPr>
                <w:rStyle w:val="bold"/>
                <w:rFonts w:ascii="Arial" w:hAnsi="Arial" w:cs="Arial"/>
                <w:b/>
                <w:color w:val="auto"/>
              </w:rPr>
              <w:t>Managed Investments: Constitutions – Updates to Regulatory Guide 134</w:t>
            </w:r>
          </w:p>
        </w:tc>
      </w:tr>
      <w:tr w:rsidR="000A5CFA" w:rsidRPr="00490DCE" w14:paraId="3BAEE0D0"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3BEB9F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6F0D979"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Update to Regulatory Guide 134 (Managed Investments: Constitutions) to remove redundant or superseded information and provide more specific guidance on certain matters.</w:t>
            </w:r>
          </w:p>
        </w:tc>
        <w:tc>
          <w:tcPr>
            <w:cnfStyle w:val="000010000000" w:firstRow="0" w:lastRow="0" w:firstColumn="0" w:lastColumn="0" w:oddVBand="1" w:evenVBand="0" w:oddHBand="0" w:evenHBand="0" w:firstRowFirstColumn="0" w:firstRowLastColumn="0" w:lastRowFirstColumn="0" w:lastRowLastColumn="0"/>
            <w:tcW w:w="627" w:type="pct"/>
          </w:tcPr>
          <w:p w14:paraId="10D3DF5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B2B9AC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42DD37B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9919D16"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3EF35F08"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Policy on Platforms: Update to Regulatory Guide 148 </w:t>
            </w:r>
          </w:p>
        </w:tc>
      </w:tr>
      <w:tr w:rsidR="000A5CFA" w:rsidRPr="00490DCE" w14:paraId="1724F8B7" w14:textId="77777777" w:rsidTr="002C252F">
        <w:trPr>
          <w:trHeight w:val="609"/>
        </w:trPr>
        <w:tc>
          <w:tcPr>
            <w:cnfStyle w:val="000010000000" w:firstRow="0" w:lastRow="0" w:firstColumn="0" w:lastColumn="0" w:oddVBand="1" w:evenVBand="0" w:oddHBand="0" w:evenHBand="0" w:firstRowFirstColumn="0" w:firstRowLastColumn="0" w:lastRowFirstColumn="0" w:lastRowLastColumn="0"/>
            <w:tcW w:w="355" w:type="pct"/>
          </w:tcPr>
          <w:p w14:paraId="02440D0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7B50D61"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4"/>
              </w:rPr>
              <w:t>Updates guidance on financial, corporate and disclosure requirements for investment platform operators.</w:t>
            </w:r>
          </w:p>
        </w:tc>
        <w:tc>
          <w:tcPr>
            <w:cnfStyle w:val="000010000000" w:firstRow="0" w:lastRow="0" w:firstColumn="0" w:lastColumn="0" w:oddVBand="1" w:evenVBand="0" w:oddHBand="0" w:evenHBand="0" w:firstRowFirstColumn="0" w:firstRowLastColumn="0" w:lastRowFirstColumn="0" w:lastRowLastColumn="0"/>
            <w:tcW w:w="627" w:type="pct"/>
          </w:tcPr>
          <w:p w14:paraId="47CF066D"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6C36594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C0CEE7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DF8F29A" w14:textId="77777777" w:rsidTr="002C252F">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006641DA"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Financial Requirements for Custodial or Depository Service Providers </w:t>
            </w:r>
          </w:p>
        </w:tc>
      </w:tr>
      <w:tr w:rsidR="000A5CFA" w:rsidRPr="00490DCE" w14:paraId="1000B328" w14:textId="77777777" w:rsidTr="002C252F">
        <w:trPr>
          <w:trHeight w:val="609"/>
        </w:trPr>
        <w:tc>
          <w:tcPr>
            <w:cnfStyle w:val="000010000000" w:firstRow="0" w:lastRow="0" w:firstColumn="0" w:lastColumn="0" w:oddVBand="1" w:evenVBand="0" w:oddHBand="0" w:evenHBand="0" w:firstRowFirstColumn="0" w:firstRowLastColumn="0" w:lastRowFirstColumn="0" w:lastRowLastColumn="0"/>
            <w:tcW w:w="355" w:type="pct"/>
          </w:tcPr>
          <w:p w14:paraId="027FF6CF"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22C249E"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2"/>
              </w:rPr>
              <w:t>New guidance on the minimum financial requirements for custodial or depository service providers.</w:t>
            </w:r>
          </w:p>
        </w:tc>
        <w:tc>
          <w:tcPr>
            <w:cnfStyle w:val="000010000000" w:firstRow="0" w:lastRow="0" w:firstColumn="0" w:lastColumn="0" w:oddVBand="1" w:evenVBand="0" w:oddHBand="0" w:evenHBand="0" w:firstRowFirstColumn="0" w:firstRowLastColumn="0" w:lastRowFirstColumn="0" w:lastRowLastColumn="0"/>
            <w:tcW w:w="627" w:type="pct"/>
          </w:tcPr>
          <w:p w14:paraId="72856477"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26C1A5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083C652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05E5BBEC" w14:textId="77777777" w:rsidR="000A5CFA" w:rsidRPr="00490DCE" w:rsidRDefault="000A5CFA">
      <w:pPr>
        <w:pStyle w:val="body"/>
        <w:rPr>
          <w:rFonts w:ascii="Arial" w:hAnsi="Arial" w:cs="Arial"/>
          <w:color w:val="auto"/>
          <w:sz w:val="22"/>
          <w:szCs w:val="22"/>
          <w:lang w:val="en-AU"/>
        </w:rPr>
      </w:pPr>
    </w:p>
    <w:p w14:paraId="6D719A7A" w14:textId="77777777" w:rsidR="001117BB" w:rsidRDefault="001117BB">
      <w:pPr>
        <w:suppressAutoHyphens w:val="0"/>
        <w:spacing w:after="0"/>
        <w:rPr>
          <w:rFonts w:cs="Arial"/>
          <w:b/>
          <w:sz w:val="20"/>
          <w:lang w:val="en-GB"/>
        </w:rPr>
      </w:pPr>
      <w:r>
        <w:rPr>
          <w:rFonts w:cs="Arial"/>
        </w:rPr>
        <w:br w:type="page"/>
      </w:r>
    </w:p>
    <w:p w14:paraId="59671261" w14:textId="18EA3EA2" w:rsidR="000A5CFA" w:rsidRPr="00490DCE" w:rsidRDefault="000A5CFA">
      <w:pPr>
        <w:pStyle w:val="tabletitle"/>
        <w:rPr>
          <w:rFonts w:cs="Arial"/>
        </w:rPr>
      </w:pPr>
      <w:r w:rsidRPr="00490DCE">
        <w:rPr>
          <w:rFonts w:cs="Arial"/>
        </w:rPr>
        <w:lastRenderedPageBreak/>
        <w:t>3.1.6 Civil Aviation Safety Authority</w:t>
      </w:r>
    </w:p>
    <w:tbl>
      <w:tblPr>
        <w:tblStyle w:val="LightList"/>
        <w:tblW w:w="5000" w:type="pct"/>
        <w:tblLook w:val="0020" w:firstRow="1" w:lastRow="0" w:firstColumn="0" w:lastColumn="0" w:noHBand="0" w:noVBand="0"/>
        <w:tblDescription w:val="2012-13 RIS compliance - Civil Aviation Safety Authority"/>
      </w:tblPr>
      <w:tblGrid>
        <w:gridCol w:w="699"/>
        <w:gridCol w:w="5448"/>
        <w:gridCol w:w="1235"/>
        <w:gridCol w:w="1233"/>
        <w:gridCol w:w="1233"/>
      </w:tblGrid>
      <w:tr w:rsidR="000A5CFA" w:rsidRPr="00490DCE" w14:paraId="3ED8E3CC"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6238F9ED"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E4F846F"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21A7D5C3"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3EC06CB6"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771757E8"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26" w:type="pct"/>
          </w:tcPr>
          <w:p w14:paraId="55945EA9"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38004B24" w14:textId="5F3788CA"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 xml:space="preserve">PIR </w:t>
            </w:r>
            <w:r w:rsidR="00AB7EF9" w:rsidRPr="0033158E">
              <w:rPr>
                <w:rStyle w:val="bold"/>
                <w:rFonts w:ascii="Arial" w:hAnsi="Arial" w:cs="Arial"/>
                <w:b w:val="0"/>
                <w:color w:val="auto"/>
              </w:rPr>
              <w:br/>
            </w:r>
            <w:r w:rsidRPr="0033158E">
              <w:rPr>
                <w:rStyle w:val="bold"/>
                <w:rFonts w:ascii="Arial" w:hAnsi="Arial" w:cs="Arial"/>
                <w:b w:val="0"/>
                <w:color w:val="auto"/>
              </w:rPr>
              <w:t>required</w:t>
            </w:r>
          </w:p>
        </w:tc>
      </w:tr>
      <w:tr w:rsidR="000A5CFA" w:rsidRPr="00490DCE" w14:paraId="3577E5F3"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B9886CB" w14:textId="77777777" w:rsidR="000A5CFA" w:rsidRPr="00ED30AB" w:rsidRDefault="000A5CFA">
            <w:pPr>
              <w:pStyle w:val="body"/>
              <w:rPr>
                <w:rFonts w:ascii="Arial" w:hAnsi="Arial" w:cs="Arial"/>
                <w:b/>
                <w:color w:val="auto"/>
              </w:rPr>
            </w:pPr>
            <w:r w:rsidRPr="00ED30AB">
              <w:rPr>
                <w:rStyle w:val="bold"/>
                <w:rFonts w:ascii="Arial" w:hAnsi="Arial" w:cs="Arial"/>
                <w:b/>
                <w:color w:val="auto"/>
              </w:rPr>
              <w:t>Mandating Aircraft Avionics Equipment for Satellite-Based Navigation</w:t>
            </w:r>
          </w:p>
        </w:tc>
      </w:tr>
      <w:tr w:rsidR="000A5CFA" w:rsidRPr="00490DCE" w14:paraId="6EA115C8"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3BD6AB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4B3438C"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Introduces safety improvements in avionics equipment which are carried on turbine powered commercial aircraft to detect and resolve potential conflict situations between aircraft.</w:t>
            </w:r>
          </w:p>
        </w:tc>
        <w:tc>
          <w:tcPr>
            <w:cnfStyle w:val="000010000000" w:firstRow="0" w:lastRow="0" w:firstColumn="0" w:lastColumn="0" w:oddVBand="1" w:evenVBand="0" w:oddHBand="0" w:evenHBand="0" w:firstRowFirstColumn="0" w:firstRowLastColumn="0" w:lastRowFirstColumn="0" w:lastRowLastColumn="0"/>
            <w:tcW w:w="627" w:type="pct"/>
          </w:tcPr>
          <w:p w14:paraId="0C3328A1"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1AA690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18B0DE7"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B1C26B4"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4CD82B5"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Flight Crew Licensing </w:t>
            </w:r>
          </w:p>
        </w:tc>
      </w:tr>
      <w:tr w:rsidR="000A5CFA" w:rsidRPr="00490DCE" w14:paraId="29AE5EB2"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205B62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0292207"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2"/>
              </w:rPr>
              <w:t>Introduce new standards to align Australia with International Civil Aviation Organisation requirements.</w:t>
            </w:r>
          </w:p>
        </w:tc>
        <w:tc>
          <w:tcPr>
            <w:cnfStyle w:val="000010000000" w:firstRow="0" w:lastRow="0" w:firstColumn="0" w:lastColumn="0" w:oddVBand="1" w:evenVBand="0" w:oddHBand="0" w:evenHBand="0" w:firstRowFirstColumn="0" w:firstRowLastColumn="0" w:lastRowFirstColumn="0" w:lastRowLastColumn="0"/>
            <w:tcW w:w="627" w:type="pct"/>
          </w:tcPr>
          <w:p w14:paraId="450B1AB1"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60BE25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0F67334"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8F938B8" w14:textId="77777777" w:rsidTr="002C252F">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1738D1C"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Review and Amendment of Flight Crew Regulation </w:t>
            </w:r>
          </w:p>
        </w:tc>
      </w:tr>
      <w:tr w:rsidR="000A5CFA" w:rsidRPr="00490DCE" w14:paraId="59811C35" w14:textId="77777777" w:rsidTr="002C252F">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C01EAF9"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0A01D29"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New flight crew fatigue management arrangements to take into account advancements in the science of fatigue and evidence of accidents and near misses.</w:t>
            </w:r>
          </w:p>
        </w:tc>
        <w:tc>
          <w:tcPr>
            <w:cnfStyle w:val="000010000000" w:firstRow="0" w:lastRow="0" w:firstColumn="0" w:lastColumn="0" w:oddVBand="1" w:evenVBand="0" w:oddHBand="0" w:evenHBand="0" w:firstRowFirstColumn="0" w:firstRowLastColumn="0" w:lastRowFirstColumn="0" w:lastRowLastColumn="0"/>
            <w:tcW w:w="627" w:type="pct"/>
          </w:tcPr>
          <w:p w14:paraId="098B8B69"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496FE2A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4563020"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4923FC43" w14:textId="77777777" w:rsidR="000A5CFA" w:rsidRPr="00490DCE" w:rsidRDefault="000A5CFA">
      <w:pPr>
        <w:pStyle w:val="body"/>
        <w:rPr>
          <w:rFonts w:ascii="Arial" w:hAnsi="Arial" w:cs="Arial"/>
          <w:color w:val="auto"/>
          <w:sz w:val="22"/>
          <w:szCs w:val="22"/>
          <w:lang w:val="en-AU"/>
        </w:rPr>
      </w:pPr>
    </w:p>
    <w:p w14:paraId="04917C79" w14:textId="77777777" w:rsidR="000A5CFA" w:rsidRPr="00490DCE" w:rsidRDefault="000A5CFA">
      <w:pPr>
        <w:pStyle w:val="tabletitle"/>
        <w:rPr>
          <w:rFonts w:cs="Arial"/>
        </w:rPr>
      </w:pPr>
      <w:r w:rsidRPr="00490DCE">
        <w:rPr>
          <w:rFonts w:cs="Arial"/>
        </w:rPr>
        <w:t>3.1.7 Agriculture, Fisheries and Forestry</w:t>
      </w:r>
    </w:p>
    <w:tbl>
      <w:tblPr>
        <w:tblStyle w:val="LightList"/>
        <w:tblW w:w="5000" w:type="pct"/>
        <w:tblLook w:val="0020" w:firstRow="1" w:lastRow="0" w:firstColumn="0" w:lastColumn="0" w:noHBand="0" w:noVBand="0"/>
        <w:tblDescription w:val="2012-13 RIS compliance - Department of Agriculture, Fisheries and Foestry"/>
      </w:tblPr>
      <w:tblGrid>
        <w:gridCol w:w="699"/>
        <w:gridCol w:w="5448"/>
        <w:gridCol w:w="1235"/>
        <w:gridCol w:w="1233"/>
        <w:gridCol w:w="1233"/>
      </w:tblGrid>
      <w:tr w:rsidR="000A5CFA" w:rsidRPr="00490DCE" w14:paraId="09456D10"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C60D12C"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1AA5833"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775BDC1"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0AFD5EC5"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3529743F"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125D7612"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26875A92" w14:textId="708792C2"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 xml:space="preserve">PIR </w:t>
            </w:r>
            <w:r w:rsidR="00AB7EF9" w:rsidRPr="0033158E">
              <w:rPr>
                <w:rFonts w:ascii="Arial" w:hAnsi="Arial" w:cs="Arial"/>
                <w:b w:val="0"/>
                <w:color w:val="auto"/>
              </w:rPr>
              <w:br/>
            </w:r>
            <w:r w:rsidRPr="0033158E">
              <w:rPr>
                <w:rFonts w:ascii="Arial" w:hAnsi="Arial" w:cs="Arial"/>
                <w:b w:val="0"/>
                <w:color w:val="auto"/>
              </w:rPr>
              <w:t>required</w:t>
            </w:r>
          </w:p>
        </w:tc>
      </w:tr>
      <w:tr w:rsidR="000A5CFA" w:rsidRPr="00490DCE" w14:paraId="63FAFCB6"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F06691A" w14:textId="77777777" w:rsidR="000A5CFA" w:rsidRPr="00ED30AB" w:rsidRDefault="000A5CFA">
            <w:pPr>
              <w:pStyle w:val="body"/>
              <w:rPr>
                <w:rFonts w:ascii="Arial" w:hAnsi="Arial" w:cs="Arial"/>
                <w:b/>
                <w:color w:val="auto"/>
              </w:rPr>
            </w:pPr>
            <w:r w:rsidRPr="00ED30AB">
              <w:rPr>
                <w:rStyle w:val="bold"/>
                <w:rFonts w:ascii="Arial" w:hAnsi="Arial" w:cs="Arial"/>
                <w:b/>
                <w:color w:val="auto"/>
              </w:rPr>
              <w:t>Biosecurity Legislation</w:t>
            </w:r>
          </w:p>
        </w:tc>
      </w:tr>
      <w:tr w:rsidR="000A5CFA" w:rsidRPr="00490DCE" w14:paraId="138EAFA4"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2EBDAC1C"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D80676B"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Provides the legislative basis for managing biosecurity risks.</w:t>
            </w:r>
          </w:p>
        </w:tc>
        <w:tc>
          <w:tcPr>
            <w:cnfStyle w:val="000010000000" w:firstRow="0" w:lastRow="0" w:firstColumn="0" w:lastColumn="0" w:oddVBand="1" w:evenVBand="0" w:oddHBand="0" w:evenHBand="0" w:firstRowFirstColumn="0" w:firstRowLastColumn="0" w:lastRowFirstColumn="0" w:lastRowLastColumn="0"/>
            <w:tcW w:w="627" w:type="pct"/>
          </w:tcPr>
          <w:p w14:paraId="020C450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BC09FC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7BEF37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3A039C9"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3F4DBC6" w14:textId="77777777" w:rsidR="000A5CFA" w:rsidRPr="00ED30AB" w:rsidRDefault="000A5CFA">
            <w:pPr>
              <w:pStyle w:val="body"/>
              <w:rPr>
                <w:rFonts w:ascii="Arial" w:hAnsi="Arial" w:cs="Arial"/>
                <w:b/>
                <w:color w:val="auto"/>
              </w:rPr>
            </w:pPr>
            <w:r w:rsidRPr="00ED30AB">
              <w:rPr>
                <w:rStyle w:val="bold"/>
                <w:rFonts w:ascii="Arial" w:hAnsi="Arial" w:cs="Arial"/>
                <w:b/>
                <w:color w:val="auto"/>
              </w:rPr>
              <w:t>Horticulture Export Regulation</w:t>
            </w:r>
          </w:p>
        </w:tc>
      </w:tr>
      <w:tr w:rsidR="000A5CFA" w:rsidRPr="00490DCE" w14:paraId="230AFBCF"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4D59B59"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1B5A28A"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Removes conditions placed on horticultural produce exported from Australia.</w:t>
            </w:r>
          </w:p>
        </w:tc>
        <w:tc>
          <w:tcPr>
            <w:cnfStyle w:val="000010000000" w:firstRow="0" w:lastRow="0" w:firstColumn="0" w:lastColumn="0" w:oddVBand="1" w:evenVBand="0" w:oddHBand="0" w:evenHBand="0" w:firstRowFirstColumn="0" w:firstRowLastColumn="0" w:lastRowFirstColumn="0" w:lastRowLastColumn="0"/>
            <w:tcW w:w="627" w:type="pct"/>
          </w:tcPr>
          <w:p w14:paraId="70294FB0"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BE2FEA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4E51613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5B43C9A6" w14:textId="77777777" w:rsidTr="000A677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76AE799"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Olive Levy </w:t>
            </w:r>
          </w:p>
        </w:tc>
      </w:tr>
      <w:tr w:rsidR="000A5CFA" w:rsidRPr="00490DCE" w14:paraId="2C0A2795"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29BC2E4"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C9079A6"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Introduces an olive levy to fund research and development and mitigate biosecurity risks.</w:t>
            </w:r>
          </w:p>
        </w:tc>
        <w:tc>
          <w:tcPr>
            <w:cnfStyle w:val="000010000000" w:firstRow="0" w:lastRow="0" w:firstColumn="0" w:lastColumn="0" w:oddVBand="1" w:evenVBand="0" w:oddHBand="0" w:evenHBand="0" w:firstRowFirstColumn="0" w:firstRowLastColumn="0" w:lastRowFirstColumn="0" w:lastRowLastColumn="0"/>
            <w:tcW w:w="627" w:type="pct"/>
          </w:tcPr>
          <w:p w14:paraId="0D97A07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CF3897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5ED4F5A"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1C9D4A96" w14:textId="77777777" w:rsidR="000A5CFA" w:rsidRPr="00490DCE" w:rsidRDefault="000A5CFA">
      <w:pPr>
        <w:pStyle w:val="body"/>
        <w:rPr>
          <w:rFonts w:ascii="Arial" w:hAnsi="Arial" w:cs="Arial"/>
          <w:color w:val="auto"/>
          <w:sz w:val="22"/>
          <w:szCs w:val="22"/>
          <w:lang w:val="en-AU"/>
        </w:rPr>
      </w:pPr>
    </w:p>
    <w:p w14:paraId="59430C98" w14:textId="77777777" w:rsidR="000A5CFA" w:rsidRPr="00490DCE" w:rsidRDefault="000A6775">
      <w:pPr>
        <w:pStyle w:val="tabletitle"/>
        <w:rPr>
          <w:rFonts w:cs="Arial"/>
        </w:rPr>
      </w:pPr>
      <w:r w:rsidRPr="00490DCE">
        <w:rPr>
          <w:rFonts w:cs="Arial"/>
        </w:rPr>
        <w:br w:type="page"/>
      </w:r>
      <w:r w:rsidR="000A5CFA" w:rsidRPr="00490DCE">
        <w:rPr>
          <w:rFonts w:cs="Arial"/>
        </w:rPr>
        <w:lastRenderedPageBreak/>
        <w:t>3.1.8 Broadband, Communications and the Digital Economy</w:t>
      </w:r>
    </w:p>
    <w:tbl>
      <w:tblPr>
        <w:tblStyle w:val="LightList"/>
        <w:tblW w:w="5000" w:type="pct"/>
        <w:tblLook w:val="0020" w:firstRow="1" w:lastRow="0" w:firstColumn="0" w:lastColumn="0" w:noHBand="0" w:noVBand="0"/>
        <w:tblDescription w:val="2012-13 RIS compliance - Department of Broadband, Communications and the Digital Economy"/>
      </w:tblPr>
      <w:tblGrid>
        <w:gridCol w:w="699"/>
        <w:gridCol w:w="5448"/>
        <w:gridCol w:w="1235"/>
        <w:gridCol w:w="1233"/>
        <w:gridCol w:w="1233"/>
      </w:tblGrid>
      <w:tr w:rsidR="000A5CFA" w:rsidRPr="00490DCE" w14:paraId="4DED9183"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C471495"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394AA7D"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2DF43252"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0C3B4491"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58C21ACF"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298B5084"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609C9F35" w14:textId="0164405F"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 xml:space="preserve">PIR </w:t>
            </w:r>
            <w:r w:rsidR="005A5EC2" w:rsidRPr="0033158E">
              <w:rPr>
                <w:rFonts w:ascii="Arial" w:hAnsi="Arial" w:cs="Arial"/>
                <w:b w:val="0"/>
                <w:color w:val="auto"/>
              </w:rPr>
              <w:br/>
            </w:r>
            <w:r w:rsidRPr="0033158E">
              <w:rPr>
                <w:rFonts w:ascii="Arial" w:hAnsi="Arial" w:cs="Arial"/>
                <w:b w:val="0"/>
                <w:color w:val="auto"/>
              </w:rPr>
              <w:t>required</w:t>
            </w:r>
          </w:p>
        </w:tc>
      </w:tr>
      <w:tr w:rsidR="000A5CFA" w:rsidRPr="00490DCE" w14:paraId="00869A5C"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95D6F61" w14:textId="77777777" w:rsidR="000A5CFA" w:rsidRPr="00ED30AB" w:rsidRDefault="000A5CFA">
            <w:pPr>
              <w:pStyle w:val="body"/>
              <w:rPr>
                <w:rFonts w:ascii="Arial" w:hAnsi="Arial" w:cs="Arial"/>
                <w:b/>
                <w:color w:val="auto"/>
              </w:rPr>
            </w:pPr>
            <w:r w:rsidRPr="00ED30AB">
              <w:rPr>
                <w:rStyle w:val="bold"/>
                <w:rFonts w:ascii="Arial" w:hAnsi="Arial" w:cs="Arial"/>
                <w:b/>
                <w:color w:val="auto"/>
              </w:rPr>
              <w:t>Convergence Review</w:t>
            </w:r>
          </w:p>
        </w:tc>
      </w:tr>
      <w:tr w:rsidR="000A5CFA" w:rsidRPr="00490DCE" w14:paraId="49ED4613"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6DC5ECA"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F2D3B09" w14:textId="77777777" w:rsidR="000A5CFA" w:rsidRPr="009E01CA"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CA">
              <w:rPr>
                <w:rStyle w:val="italic"/>
                <w:rFonts w:ascii="Arial" w:hAnsi="Arial" w:cs="Arial"/>
                <w:i/>
                <w:color w:val="auto"/>
              </w:rPr>
              <w:t>A range of measures including the introduction of Australian content requirements; a decision not to issue spectrum or broadcast licenses for a fourth free-to-air television network; and the repeal of the ‘75 per cent reach rule’.</w:t>
            </w:r>
          </w:p>
        </w:tc>
        <w:tc>
          <w:tcPr>
            <w:cnfStyle w:val="000010000000" w:firstRow="0" w:lastRow="0" w:firstColumn="0" w:lastColumn="0" w:oddVBand="1" w:evenVBand="0" w:oddHBand="0" w:evenHBand="0" w:firstRowFirstColumn="0" w:firstRowLastColumn="0" w:lastRowFirstColumn="0" w:lastRowLastColumn="0"/>
            <w:tcW w:w="627" w:type="pct"/>
          </w:tcPr>
          <w:p w14:paraId="553E8A6E"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5B5186B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61A9CB68"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3432027E"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EA612F5" w14:textId="77777777" w:rsidR="000A5CFA" w:rsidRPr="00ED30AB" w:rsidRDefault="000A5CFA">
            <w:pPr>
              <w:pStyle w:val="body"/>
              <w:rPr>
                <w:rFonts w:ascii="Arial" w:hAnsi="Arial" w:cs="Arial"/>
                <w:b/>
                <w:color w:val="auto"/>
              </w:rPr>
            </w:pPr>
            <w:r w:rsidRPr="00ED30AB">
              <w:rPr>
                <w:rStyle w:val="bold"/>
                <w:rFonts w:ascii="Arial" w:hAnsi="Arial" w:cs="Arial"/>
                <w:b/>
                <w:color w:val="auto"/>
              </w:rPr>
              <w:t>Digital Dividend Auction Revised Competition Limits</w:t>
            </w:r>
          </w:p>
        </w:tc>
      </w:tr>
      <w:tr w:rsidR="000A5CFA" w:rsidRPr="00490DCE" w14:paraId="4B673525"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D966C2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EC0AA01" w14:textId="77777777" w:rsidR="000A5CFA" w:rsidRPr="009E01CA"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CA">
              <w:rPr>
                <w:rStyle w:val="italic"/>
                <w:rFonts w:ascii="Arial" w:hAnsi="Arial" w:cs="Arial"/>
                <w:i/>
                <w:color w:val="auto"/>
              </w:rPr>
              <w:t>Revises the competition limits for spectrum to be auctioned in the 700MHz band.</w:t>
            </w:r>
          </w:p>
        </w:tc>
        <w:tc>
          <w:tcPr>
            <w:cnfStyle w:val="000010000000" w:firstRow="0" w:lastRow="0" w:firstColumn="0" w:lastColumn="0" w:oddVBand="1" w:evenVBand="0" w:oddHBand="0" w:evenHBand="0" w:firstRowFirstColumn="0" w:firstRowLastColumn="0" w:lastRowFirstColumn="0" w:lastRowLastColumn="0"/>
            <w:tcW w:w="627" w:type="pct"/>
          </w:tcPr>
          <w:p w14:paraId="1046AFE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2D7B61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8727E62"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ACEA246" w14:textId="77777777" w:rsidTr="000A6775">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16E981E"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Trans-Tasman Mobile Roaming </w:t>
            </w:r>
          </w:p>
        </w:tc>
      </w:tr>
      <w:tr w:rsidR="000A5CFA" w:rsidRPr="00490DCE" w14:paraId="6EC15ED8" w14:textId="77777777" w:rsidTr="000A6775">
        <w:trPr>
          <w:trHeight w:val="755"/>
        </w:trPr>
        <w:tc>
          <w:tcPr>
            <w:cnfStyle w:val="000010000000" w:firstRow="0" w:lastRow="0" w:firstColumn="0" w:lastColumn="0" w:oddVBand="1" w:evenVBand="0" w:oddHBand="0" w:evenHBand="0" w:firstRowFirstColumn="0" w:firstRowLastColumn="0" w:lastRowFirstColumn="0" w:lastRowLastColumn="0"/>
            <w:tcW w:w="355" w:type="pct"/>
          </w:tcPr>
          <w:p w14:paraId="0434161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D3F84AF" w14:textId="59E7743D" w:rsidR="000A5CFA" w:rsidRPr="009E01CA"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CA">
              <w:rPr>
                <w:rStyle w:val="italic"/>
                <w:rFonts w:ascii="Arial" w:hAnsi="Arial" w:cs="Arial"/>
                <w:i/>
                <w:color w:val="auto"/>
              </w:rPr>
              <w:t>Providing greater powers to the ACCC in respect to Trans</w:t>
            </w:r>
            <w:r w:rsidR="00F43F6A" w:rsidRPr="009E01CA">
              <w:rPr>
                <w:rStyle w:val="italic"/>
                <w:rFonts w:ascii="American Typewriter Light" w:hAnsi="American Typewriter Light" w:cs="American Typewriter Light"/>
                <w:i/>
                <w:color w:val="auto"/>
              </w:rPr>
              <w:t>-</w:t>
            </w:r>
            <w:r w:rsidRPr="009E01CA">
              <w:rPr>
                <w:rStyle w:val="italic"/>
                <w:rFonts w:ascii="Arial" w:hAnsi="Arial" w:cs="Arial"/>
                <w:i/>
                <w:color w:val="auto"/>
              </w:rPr>
              <w:t xml:space="preserve">Tasman mobile roaming to undertake regulatory measures, if necessary. </w:t>
            </w:r>
          </w:p>
        </w:tc>
        <w:tc>
          <w:tcPr>
            <w:cnfStyle w:val="000010000000" w:firstRow="0" w:lastRow="0" w:firstColumn="0" w:lastColumn="0" w:oddVBand="1" w:evenVBand="0" w:oddHBand="0" w:evenHBand="0" w:firstRowFirstColumn="0" w:firstRowLastColumn="0" w:lastRowFirstColumn="0" w:lastRowLastColumn="0"/>
            <w:tcW w:w="627" w:type="pct"/>
          </w:tcPr>
          <w:p w14:paraId="68D206BD"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C59605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BD1E81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0DB52FEE"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0B606FFF"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Changes to Identity Verification Requirements for Prepaid Mobile Services </w:t>
            </w:r>
          </w:p>
        </w:tc>
      </w:tr>
      <w:tr w:rsidR="000A5CFA" w:rsidRPr="00490DCE" w14:paraId="0546C51A"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AFC69F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07A24E3" w14:textId="77777777" w:rsidR="000A5CFA" w:rsidRPr="009E01CA"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CA">
              <w:rPr>
                <w:rStyle w:val="italic"/>
                <w:rFonts w:ascii="Arial" w:hAnsi="Arial" w:cs="Arial"/>
                <w:i/>
                <w:color w:val="auto"/>
              </w:rPr>
              <w:t>Phased introduction of identity verification at point of activation only.</w:t>
            </w:r>
          </w:p>
        </w:tc>
        <w:tc>
          <w:tcPr>
            <w:cnfStyle w:val="000010000000" w:firstRow="0" w:lastRow="0" w:firstColumn="0" w:lastColumn="0" w:oddVBand="1" w:evenVBand="0" w:oddHBand="0" w:evenHBand="0" w:firstRowFirstColumn="0" w:firstRowLastColumn="0" w:lastRowFirstColumn="0" w:lastRowLastColumn="0"/>
            <w:tcW w:w="627" w:type="pct"/>
          </w:tcPr>
          <w:p w14:paraId="28E5F18E"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870AD4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5B53F3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070418B1" w14:textId="77777777" w:rsidR="000A5CFA" w:rsidRPr="00490DCE" w:rsidRDefault="000A5CFA">
      <w:pPr>
        <w:pStyle w:val="body"/>
        <w:rPr>
          <w:rFonts w:ascii="Arial" w:hAnsi="Arial" w:cs="Arial"/>
          <w:color w:val="auto"/>
          <w:sz w:val="16"/>
          <w:szCs w:val="16"/>
          <w:lang w:val="en-AU"/>
        </w:rPr>
      </w:pPr>
    </w:p>
    <w:p w14:paraId="4333F227" w14:textId="77777777" w:rsidR="000A5CFA" w:rsidRPr="00490DCE" w:rsidRDefault="000A5CFA" w:rsidP="000A6775">
      <w:pPr>
        <w:rPr>
          <w:rFonts w:cs="Arial"/>
        </w:rPr>
      </w:pPr>
      <w:r w:rsidRPr="00490DCE">
        <w:rPr>
          <w:rFonts w:cs="Arial"/>
        </w:rPr>
        <w:t>E/c Exceptional circumstances were granted by the Prime Minister</w:t>
      </w:r>
    </w:p>
    <w:p w14:paraId="3ADD9052" w14:textId="77777777" w:rsidR="000A5CFA" w:rsidRPr="00490DCE" w:rsidRDefault="000A5CFA">
      <w:pPr>
        <w:pStyle w:val="tabletitle"/>
        <w:rPr>
          <w:rFonts w:cs="Arial"/>
        </w:rPr>
      </w:pPr>
      <w:r w:rsidRPr="00490DCE">
        <w:rPr>
          <w:rFonts w:cs="Arial"/>
        </w:rPr>
        <w:t>3.1.9 Education, Employment and Workplace Relations</w:t>
      </w:r>
    </w:p>
    <w:tbl>
      <w:tblPr>
        <w:tblStyle w:val="LightList"/>
        <w:tblW w:w="5000" w:type="pct"/>
        <w:tblLook w:val="0020" w:firstRow="1" w:lastRow="0" w:firstColumn="0" w:lastColumn="0" w:noHBand="0" w:noVBand="0"/>
        <w:tblDescription w:val="2012-13 RIS compliance - Department of Employment, Education and Workplace Relations"/>
      </w:tblPr>
      <w:tblGrid>
        <w:gridCol w:w="699"/>
        <w:gridCol w:w="5448"/>
        <w:gridCol w:w="1235"/>
        <w:gridCol w:w="1233"/>
        <w:gridCol w:w="1233"/>
      </w:tblGrid>
      <w:tr w:rsidR="000A5CFA" w:rsidRPr="00490DCE" w14:paraId="6696FD80"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60F65E92"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349146B"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987F802"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00423CC6"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08221575"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1E9DCC59"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26B545F2"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3F1F5AD7"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5A1113D"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Amendment to the transfer of business provisions in the Fair Work Act 2009</w:t>
            </w:r>
          </w:p>
        </w:tc>
      </w:tr>
      <w:tr w:rsidR="000A5CFA" w:rsidRPr="00490DCE" w14:paraId="1F429F52"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0ECCE2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7ACDB00" w14:textId="77777777" w:rsidR="000A5CFA" w:rsidRPr="00FE704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FE7041">
              <w:rPr>
                <w:rStyle w:val="italic"/>
                <w:rFonts w:ascii="Arial" w:hAnsi="Arial" w:cs="Arial"/>
                <w:i/>
                <w:color w:val="auto"/>
                <w:spacing w:val="-5"/>
              </w:rPr>
              <w:t>Requires businesses taking over state or territory public sector organisations to remunerate employees under the same conditions as their previous employer (Fair Work Amendment (Transfer of Business) Act 2012).</w:t>
            </w:r>
          </w:p>
        </w:tc>
        <w:tc>
          <w:tcPr>
            <w:cnfStyle w:val="000010000000" w:firstRow="0" w:lastRow="0" w:firstColumn="0" w:lastColumn="0" w:oddVBand="1" w:evenVBand="0" w:oddHBand="0" w:evenHBand="0" w:firstRowFirstColumn="0" w:firstRowLastColumn="0" w:lastRowFirstColumn="0" w:lastRowLastColumn="0"/>
            <w:tcW w:w="627" w:type="pct"/>
          </w:tcPr>
          <w:p w14:paraId="0D5A5104"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5CE2BAE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01290F7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0927D74E"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9E6DFE2" w14:textId="77777777" w:rsidR="000A5CFA" w:rsidRPr="00ED30AB" w:rsidRDefault="000A5CFA">
            <w:pPr>
              <w:pStyle w:val="body"/>
              <w:rPr>
                <w:rFonts w:ascii="Arial" w:hAnsi="Arial" w:cs="Arial"/>
                <w:b/>
                <w:color w:val="auto"/>
              </w:rPr>
            </w:pPr>
            <w:r w:rsidRPr="00ED30AB">
              <w:rPr>
                <w:rStyle w:val="bold"/>
                <w:rFonts w:ascii="Arial" w:hAnsi="Arial" w:cs="Arial"/>
                <w:b/>
                <w:color w:val="auto"/>
              </w:rPr>
              <w:t>First Tranche Response to Fair Work Act Review</w:t>
            </w:r>
          </w:p>
        </w:tc>
      </w:tr>
      <w:tr w:rsidR="000A5CFA" w:rsidRPr="00490DCE" w14:paraId="59C812CA"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87B803C"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4F360C8" w14:textId="77777777" w:rsidR="000A5CFA" w:rsidRPr="00FE704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FE7041">
              <w:rPr>
                <w:rStyle w:val="italic"/>
                <w:rFonts w:ascii="Arial" w:hAnsi="Arial" w:cs="Arial"/>
                <w:i/>
                <w:color w:val="auto"/>
              </w:rPr>
              <w:t>Alignment of the time limit for lodging unfair dismissal applications and general protections claims for termination of employment.</w:t>
            </w:r>
          </w:p>
        </w:tc>
        <w:tc>
          <w:tcPr>
            <w:cnfStyle w:val="000010000000" w:firstRow="0" w:lastRow="0" w:firstColumn="0" w:lastColumn="0" w:oddVBand="1" w:evenVBand="0" w:oddHBand="0" w:evenHBand="0" w:firstRowFirstColumn="0" w:firstRowLastColumn="0" w:lastRowFirstColumn="0" w:lastRowLastColumn="0"/>
            <w:tcW w:w="627" w:type="pct"/>
          </w:tcPr>
          <w:p w14:paraId="57D48A1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FC3298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r w:rsidRPr="00490DCE">
              <w:rPr>
                <w:rStyle w:val="super"/>
                <w:rFonts w:cs="Arial"/>
                <w:color w:val="auto"/>
              </w:rPr>
              <w:t>a</w:t>
            </w:r>
          </w:p>
        </w:tc>
        <w:tc>
          <w:tcPr>
            <w:cnfStyle w:val="000010000000" w:firstRow="0" w:lastRow="0" w:firstColumn="0" w:lastColumn="0" w:oddVBand="1" w:evenVBand="0" w:oddHBand="0" w:evenHBand="0" w:firstRowFirstColumn="0" w:firstRowLastColumn="0" w:lastRowFirstColumn="0" w:lastRowLastColumn="0"/>
            <w:tcW w:w="627" w:type="pct"/>
          </w:tcPr>
          <w:p w14:paraId="4D1C828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025D9A03"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B85AD7E" w14:textId="77777777" w:rsidR="000A5CFA" w:rsidRPr="00ED30AB" w:rsidRDefault="000A5CFA">
            <w:pPr>
              <w:pStyle w:val="body"/>
              <w:rPr>
                <w:rFonts w:ascii="Arial" w:hAnsi="Arial" w:cs="Arial"/>
                <w:b/>
                <w:color w:val="auto"/>
              </w:rPr>
            </w:pPr>
            <w:r w:rsidRPr="00ED30AB">
              <w:rPr>
                <w:rStyle w:val="bold"/>
                <w:rFonts w:ascii="Arial" w:hAnsi="Arial" w:cs="Arial"/>
                <w:b/>
                <w:color w:val="auto"/>
              </w:rPr>
              <w:t>Default Superannuation Funds in Modern Awards</w:t>
            </w:r>
          </w:p>
        </w:tc>
      </w:tr>
      <w:tr w:rsidR="000A5CFA" w:rsidRPr="00490DCE" w14:paraId="1C0797DB"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BEA1378"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DF9CD25" w14:textId="77777777" w:rsidR="000A5CFA" w:rsidRPr="00FE704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FE7041">
              <w:rPr>
                <w:rStyle w:val="italic"/>
                <w:rFonts w:ascii="Arial" w:hAnsi="Arial" w:cs="Arial"/>
                <w:i/>
                <w:color w:val="auto"/>
              </w:rPr>
              <w:t>Changes to the listing of default Superannuation funds in Modern Awards.</w:t>
            </w:r>
          </w:p>
        </w:tc>
        <w:tc>
          <w:tcPr>
            <w:cnfStyle w:val="000010000000" w:firstRow="0" w:lastRow="0" w:firstColumn="0" w:lastColumn="0" w:oddVBand="1" w:evenVBand="0" w:oddHBand="0" w:evenHBand="0" w:firstRowFirstColumn="0" w:firstRowLastColumn="0" w:lastRowFirstColumn="0" w:lastRowLastColumn="0"/>
            <w:tcW w:w="627" w:type="pct"/>
          </w:tcPr>
          <w:p w14:paraId="333FDA29"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3A128F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r w:rsidRPr="00490DCE">
              <w:rPr>
                <w:rStyle w:val="super"/>
                <w:rFonts w:cs="Arial"/>
                <w:color w:val="auto"/>
              </w:rPr>
              <w:t>a</w:t>
            </w:r>
          </w:p>
        </w:tc>
        <w:tc>
          <w:tcPr>
            <w:cnfStyle w:val="000010000000" w:firstRow="0" w:lastRow="0" w:firstColumn="0" w:lastColumn="0" w:oddVBand="1" w:evenVBand="0" w:oddHBand="0" w:evenHBand="0" w:firstRowFirstColumn="0" w:firstRowLastColumn="0" w:lastRowFirstColumn="0" w:lastRowLastColumn="0"/>
            <w:tcW w:w="627" w:type="pct"/>
          </w:tcPr>
          <w:p w14:paraId="48AC7B6B"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05B13DCF"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A597A2F"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Amendments to the Fair Work Act 2009</w:t>
            </w:r>
          </w:p>
        </w:tc>
      </w:tr>
      <w:tr w:rsidR="000A5CFA" w:rsidRPr="00490DCE" w14:paraId="7512E382"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B9CF4C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F677A8A" w14:textId="77777777" w:rsidR="000A5CFA" w:rsidRPr="00FE704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FE7041">
              <w:rPr>
                <w:rStyle w:val="italic"/>
                <w:rFonts w:ascii="Arial" w:hAnsi="Arial" w:cs="Arial"/>
                <w:i/>
                <w:color w:val="auto"/>
              </w:rPr>
              <w:t>Assist families with flexible working arrangements and workers subjected to workplace bullying.</w:t>
            </w:r>
          </w:p>
        </w:tc>
        <w:tc>
          <w:tcPr>
            <w:cnfStyle w:val="000010000000" w:firstRow="0" w:lastRow="0" w:firstColumn="0" w:lastColumn="0" w:oddVBand="1" w:evenVBand="0" w:oddHBand="0" w:evenHBand="0" w:firstRowFirstColumn="0" w:firstRowLastColumn="0" w:lastRowFirstColumn="0" w:lastRowLastColumn="0"/>
            <w:tcW w:w="627" w:type="pct"/>
          </w:tcPr>
          <w:p w14:paraId="4FD4F0E6"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372A8F8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76D218E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7FFC55B5"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0AEE10B"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Amendments to the Fair Work Act 2009</w:t>
            </w:r>
          </w:p>
        </w:tc>
      </w:tr>
      <w:tr w:rsidR="000A5CFA" w:rsidRPr="00490DCE" w14:paraId="2E0126B3"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E71048E"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0C8828C" w14:textId="77777777" w:rsidR="000A5CFA" w:rsidRPr="00FE704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FE7041">
              <w:rPr>
                <w:rStyle w:val="italic"/>
                <w:rFonts w:ascii="Arial" w:hAnsi="Arial" w:cs="Arial"/>
                <w:i/>
                <w:color w:val="auto"/>
              </w:rPr>
              <w:t xml:space="preserve">Amendments to bargaining for </w:t>
            </w:r>
            <w:proofErr w:type="spellStart"/>
            <w:r w:rsidRPr="00FE7041">
              <w:rPr>
                <w:rStyle w:val="italic"/>
                <w:rFonts w:ascii="Arial" w:hAnsi="Arial" w:cs="Arial"/>
                <w:i/>
                <w:color w:val="auto"/>
              </w:rPr>
              <w:t>greenfields</w:t>
            </w:r>
            <w:proofErr w:type="spellEnd"/>
            <w:r w:rsidRPr="00FE7041">
              <w:rPr>
                <w:rStyle w:val="italic"/>
                <w:rFonts w:ascii="Arial" w:hAnsi="Arial" w:cs="Arial"/>
                <w:i/>
                <w:color w:val="auto"/>
              </w:rPr>
              <w:t xml:space="preserve"> agreements and the right of entry provisions, as well as amendments to the modern awards objective.</w:t>
            </w:r>
          </w:p>
        </w:tc>
        <w:tc>
          <w:tcPr>
            <w:cnfStyle w:val="000010000000" w:firstRow="0" w:lastRow="0" w:firstColumn="0" w:lastColumn="0" w:oddVBand="1" w:evenVBand="0" w:oddHBand="0" w:evenHBand="0" w:firstRowFirstColumn="0" w:firstRowLastColumn="0" w:lastRowFirstColumn="0" w:lastRowLastColumn="0"/>
            <w:tcW w:w="627" w:type="pct"/>
          </w:tcPr>
          <w:p w14:paraId="4744E8DC"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39A61C0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348D5BA2"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bl>
    <w:p w14:paraId="7D367A7D" w14:textId="77777777" w:rsidR="000A5CFA" w:rsidRPr="00490DCE" w:rsidRDefault="000A5CFA">
      <w:pPr>
        <w:pStyle w:val="body"/>
        <w:rPr>
          <w:rFonts w:ascii="Arial" w:hAnsi="Arial" w:cs="Arial"/>
          <w:color w:val="auto"/>
          <w:sz w:val="16"/>
          <w:szCs w:val="16"/>
          <w:lang w:val="en-AU"/>
        </w:rPr>
      </w:pPr>
    </w:p>
    <w:p w14:paraId="2E0608F8" w14:textId="77777777" w:rsidR="000A5CFA" w:rsidRPr="00490DCE" w:rsidRDefault="000A5CFA">
      <w:pPr>
        <w:pStyle w:val="note"/>
        <w:spacing w:after="0"/>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This RIS was published on the OBPR website but is not included in the explanatory memorandum that was tabled in Parliament.</w:t>
      </w:r>
    </w:p>
    <w:p w14:paraId="3892D9CD" w14:textId="77777777" w:rsidR="000A5CFA" w:rsidRPr="00490DCE" w:rsidRDefault="000A5CFA">
      <w:pPr>
        <w:pStyle w:val="note"/>
        <w:rPr>
          <w:rFonts w:cs="Arial"/>
          <w:color w:val="auto"/>
        </w:rPr>
      </w:pPr>
      <w:r w:rsidRPr="00490DCE">
        <w:rPr>
          <w:rFonts w:cs="Arial"/>
          <w:color w:val="auto"/>
        </w:rPr>
        <w:t>E/c Exceptional circumstances were granted by the Prime Minister</w:t>
      </w:r>
    </w:p>
    <w:p w14:paraId="74BA60CA" w14:textId="77777777" w:rsidR="000A5CFA" w:rsidRPr="00490DCE" w:rsidRDefault="000A5CFA">
      <w:pPr>
        <w:pStyle w:val="tabletitle"/>
        <w:rPr>
          <w:rFonts w:cs="Arial"/>
        </w:rPr>
      </w:pPr>
      <w:r w:rsidRPr="00490DCE">
        <w:rPr>
          <w:rFonts w:cs="Arial"/>
        </w:rPr>
        <w:lastRenderedPageBreak/>
        <w:t>3.1.10 Health and Ageing</w:t>
      </w:r>
    </w:p>
    <w:tbl>
      <w:tblPr>
        <w:tblStyle w:val="LightList"/>
        <w:tblW w:w="5000" w:type="pct"/>
        <w:tblLook w:val="0020" w:firstRow="1" w:lastRow="0" w:firstColumn="0" w:lastColumn="0" w:noHBand="0" w:noVBand="0"/>
        <w:tblDescription w:val="2012-13 RIS compliance - Department of Health and Ageing"/>
      </w:tblPr>
      <w:tblGrid>
        <w:gridCol w:w="699"/>
        <w:gridCol w:w="5448"/>
        <w:gridCol w:w="1235"/>
        <w:gridCol w:w="1233"/>
        <w:gridCol w:w="1233"/>
      </w:tblGrid>
      <w:tr w:rsidR="000A5CFA" w:rsidRPr="00490DCE" w14:paraId="4537BE46"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D2024FD"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CC3E57A" w14:textId="77777777" w:rsidTr="007425EA">
        <w:trPr>
          <w:cnfStyle w:val="100000000000" w:firstRow="1" w:lastRow="0" w:firstColumn="0" w:lastColumn="0" w:oddVBand="0" w:evenVBand="0" w:oddHBand="0" w:evenHBand="0" w:firstRowFirstColumn="0" w:firstRowLastColumn="0" w:lastRowFirstColumn="0" w:lastRowLastColumn="0"/>
          <w:trHeight w:val="535"/>
          <w:tblHeader/>
        </w:trPr>
        <w:tc>
          <w:tcPr>
            <w:cnfStyle w:val="000010000000" w:firstRow="0" w:lastRow="0" w:firstColumn="0" w:lastColumn="0" w:oddVBand="1" w:evenVBand="0" w:oddHBand="0" w:evenHBand="0" w:firstRowFirstColumn="0" w:firstRowLastColumn="0" w:lastRowFirstColumn="0" w:lastRowLastColumn="0"/>
            <w:tcW w:w="355" w:type="pct"/>
          </w:tcPr>
          <w:p w14:paraId="068B5E65"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2BB10FCD"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42B7ED69"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251BA8FE"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spacing w:val="-2"/>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312ED591"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7A9240E9"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247764D" w14:textId="77777777" w:rsidR="000A5CFA" w:rsidRPr="00ED30AB" w:rsidRDefault="000A5CFA">
            <w:pPr>
              <w:pStyle w:val="body"/>
              <w:rPr>
                <w:rFonts w:ascii="Arial" w:hAnsi="Arial" w:cs="Arial"/>
                <w:b/>
                <w:color w:val="auto"/>
              </w:rPr>
            </w:pPr>
            <w:r w:rsidRPr="00ED30AB">
              <w:rPr>
                <w:rStyle w:val="bold"/>
                <w:rFonts w:ascii="Arial" w:hAnsi="Arial" w:cs="Arial"/>
                <w:b/>
                <w:color w:val="auto"/>
              </w:rPr>
              <w:t>Cosmetic Sunscreen Standard</w:t>
            </w:r>
          </w:p>
        </w:tc>
      </w:tr>
      <w:tr w:rsidR="000A5CFA" w:rsidRPr="00490DCE" w14:paraId="32ED2272" w14:textId="77777777" w:rsidTr="000A6775">
        <w:trPr>
          <w:trHeight w:val="312"/>
        </w:trPr>
        <w:tc>
          <w:tcPr>
            <w:cnfStyle w:val="000010000000" w:firstRow="0" w:lastRow="0" w:firstColumn="0" w:lastColumn="0" w:oddVBand="1" w:evenVBand="0" w:oddHBand="0" w:evenHBand="0" w:firstRowFirstColumn="0" w:firstRowLastColumn="0" w:lastRowFirstColumn="0" w:lastRowLastColumn="0"/>
            <w:tcW w:w="355" w:type="pct"/>
          </w:tcPr>
          <w:p w14:paraId="57D11BC9"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C23D2A7"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Adoption of the revised Sunscreen Standard for cosmetic sunscreen products.</w:t>
            </w:r>
          </w:p>
        </w:tc>
        <w:tc>
          <w:tcPr>
            <w:cnfStyle w:val="000010000000" w:firstRow="0" w:lastRow="0" w:firstColumn="0" w:lastColumn="0" w:oddVBand="1" w:evenVBand="0" w:oddHBand="0" w:evenHBand="0" w:firstRowFirstColumn="0" w:firstRowLastColumn="0" w:lastRowFirstColumn="0" w:lastRowLastColumn="0"/>
            <w:tcW w:w="627" w:type="pct"/>
          </w:tcPr>
          <w:p w14:paraId="555501F8"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93974D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C452018"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EAF42D8"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E4F2E47" w14:textId="77777777" w:rsidR="000A5CFA" w:rsidRPr="00ED30AB" w:rsidRDefault="000A5CFA">
            <w:pPr>
              <w:pStyle w:val="body"/>
              <w:rPr>
                <w:rFonts w:ascii="Arial" w:hAnsi="Arial" w:cs="Arial"/>
                <w:b/>
                <w:color w:val="auto"/>
              </w:rPr>
            </w:pPr>
            <w:r w:rsidRPr="00ED30AB">
              <w:rPr>
                <w:rStyle w:val="bold"/>
                <w:rFonts w:ascii="Arial" w:hAnsi="Arial" w:cs="Arial"/>
                <w:b/>
                <w:color w:val="auto"/>
              </w:rPr>
              <w:t>Clinical Registers for High Risk Implantable Medical Devices</w:t>
            </w:r>
          </w:p>
        </w:tc>
      </w:tr>
      <w:tr w:rsidR="000A5CFA" w:rsidRPr="00490DCE" w14:paraId="3981126C"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4A4254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836A8E0"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5"/>
              </w:rPr>
              <w:t>An in-principle agreement for the development of clinical registers for high risk implantable medical devices.</w:t>
            </w:r>
          </w:p>
        </w:tc>
        <w:tc>
          <w:tcPr>
            <w:cnfStyle w:val="000010000000" w:firstRow="0" w:lastRow="0" w:firstColumn="0" w:lastColumn="0" w:oddVBand="1" w:evenVBand="0" w:oddHBand="0" w:evenHBand="0" w:firstRowFirstColumn="0" w:firstRowLastColumn="0" w:lastRowFirstColumn="0" w:lastRowLastColumn="0"/>
            <w:tcW w:w="627" w:type="pct"/>
          </w:tcPr>
          <w:p w14:paraId="03F966EE"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1EE6BD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02ACC7F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0C73D46"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7AC8717"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Australian and New Zealand Sunscreen Standard AS/NZS 2604:2012</w:t>
            </w:r>
          </w:p>
        </w:tc>
      </w:tr>
      <w:tr w:rsidR="000A5CFA" w:rsidRPr="00490DCE" w14:paraId="2114568F"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686579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ADACEF6"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Adoption of new requirements for sunscreens listed in the Australian Register of Therapeutic Goods.</w:t>
            </w:r>
          </w:p>
        </w:tc>
        <w:tc>
          <w:tcPr>
            <w:cnfStyle w:val="000010000000" w:firstRow="0" w:lastRow="0" w:firstColumn="0" w:lastColumn="0" w:oddVBand="1" w:evenVBand="0" w:oddHBand="0" w:evenHBand="0" w:firstRowFirstColumn="0" w:firstRowLastColumn="0" w:lastRowFirstColumn="0" w:lastRowLastColumn="0"/>
            <w:tcW w:w="627" w:type="pct"/>
          </w:tcPr>
          <w:p w14:paraId="7742996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10486D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5B5F8B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11A8506"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4497502"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Aged Care Reform Accommodation Payments</w:t>
            </w:r>
          </w:p>
        </w:tc>
      </w:tr>
      <w:tr w:rsidR="000A5CFA" w:rsidRPr="00490DCE" w14:paraId="158A2E34"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616E12F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6DA7B20" w14:textId="77777777" w:rsidR="000A5CFA" w:rsidRPr="00ED30AB" w:rsidRDefault="000A5CFA" w:rsidP="000A6775">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Introduction of three tiered pricing methodology for accommodation payments for entry to an aged care home.</w:t>
            </w:r>
          </w:p>
        </w:tc>
        <w:tc>
          <w:tcPr>
            <w:cnfStyle w:val="000010000000" w:firstRow="0" w:lastRow="0" w:firstColumn="0" w:lastColumn="0" w:oddVBand="1" w:evenVBand="0" w:oddHBand="0" w:evenHBand="0" w:firstRowFirstColumn="0" w:firstRowLastColumn="0" w:lastRowFirstColumn="0" w:lastRowLastColumn="0"/>
            <w:tcW w:w="627" w:type="pct"/>
          </w:tcPr>
          <w:p w14:paraId="16B25BF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37E9DF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B7F1660"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E4FADD1"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11B45BF" w14:textId="77777777" w:rsidR="000A5CFA" w:rsidRPr="00ED30AB" w:rsidRDefault="000A5CFA">
            <w:pPr>
              <w:pStyle w:val="body"/>
              <w:rPr>
                <w:rFonts w:ascii="Arial" w:hAnsi="Arial" w:cs="Arial"/>
                <w:b/>
                <w:color w:val="auto"/>
              </w:rPr>
            </w:pPr>
            <w:r w:rsidRPr="00ED30AB">
              <w:rPr>
                <w:rStyle w:val="bold"/>
                <w:rFonts w:ascii="Arial" w:hAnsi="Arial" w:cs="Arial"/>
                <w:b/>
                <w:color w:val="auto"/>
              </w:rPr>
              <w:t>Revision of the Australian Code of Good Manufacturing Practice for human blood and blood components, human tissues and human cellular therapy products</w:t>
            </w:r>
          </w:p>
        </w:tc>
      </w:tr>
      <w:tr w:rsidR="000A5CFA" w:rsidRPr="00490DCE" w14:paraId="5A55B717"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1CC077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B472038"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Align manufacturing requirements of human cellular therapy products with industry practice and international regulation.</w:t>
            </w:r>
          </w:p>
        </w:tc>
        <w:tc>
          <w:tcPr>
            <w:cnfStyle w:val="000010000000" w:firstRow="0" w:lastRow="0" w:firstColumn="0" w:lastColumn="0" w:oddVBand="1" w:evenVBand="0" w:oddHBand="0" w:evenHBand="0" w:firstRowFirstColumn="0" w:firstRowLastColumn="0" w:lastRowFirstColumn="0" w:lastRowLastColumn="0"/>
            <w:tcW w:w="627" w:type="pct"/>
          </w:tcPr>
          <w:p w14:paraId="52ABE2D4"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729BAB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06ED5800"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9595EB8"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55DC4F3" w14:textId="77777777" w:rsidR="000A5CFA" w:rsidRPr="00ED30AB" w:rsidRDefault="000A5CFA">
            <w:pPr>
              <w:pStyle w:val="body"/>
              <w:rPr>
                <w:rFonts w:ascii="Arial" w:hAnsi="Arial" w:cs="Arial"/>
                <w:b/>
                <w:color w:val="auto"/>
              </w:rPr>
            </w:pPr>
            <w:r w:rsidRPr="00ED30AB">
              <w:rPr>
                <w:rStyle w:val="bold"/>
                <w:rFonts w:ascii="Arial" w:hAnsi="Arial" w:cs="Arial"/>
                <w:b/>
                <w:color w:val="auto"/>
              </w:rPr>
              <w:t>Clinical Registers for High Risk Implantable Medical Devices</w:t>
            </w:r>
          </w:p>
        </w:tc>
      </w:tr>
      <w:tr w:rsidR="000A5CFA" w:rsidRPr="00490DCE" w14:paraId="188A18B5"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493746A"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7E5C97E"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4"/>
              </w:rPr>
              <w:t>Development of clinical quality registers for specific implantable devices and the establishment of a national patient contact register for implantable devices.</w:t>
            </w:r>
          </w:p>
        </w:tc>
        <w:tc>
          <w:tcPr>
            <w:cnfStyle w:val="000010000000" w:firstRow="0" w:lastRow="0" w:firstColumn="0" w:lastColumn="0" w:oddVBand="1" w:evenVBand="0" w:oddHBand="0" w:evenHBand="0" w:firstRowFirstColumn="0" w:firstRowLastColumn="0" w:lastRowFirstColumn="0" w:lastRowLastColumn="0"/>
            <w:tcW w:w="627" w:type="pct"/>
          </w:tcPr>
          <w:p w14:paraId="456FCF7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6D763F2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C62775D"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04E29D37" w14:textId="77777777" w:rsidR="000A5CFA" w:rsidRPr="00490DCE" w:rsidRDefault="000A5CFA">
      <w:pPr>
        <w:pStyle w:val="NoParagraphStyle"/>
        <w:suppressAutoHyphens/>
        <w:rPr>
          <w:rFonts w:ascii="Arial" w:hAnsi="Arial" w:cs="Arial"/>
          <w:color w:val="auto"/>
          <w:sz w:val="22"/>
          <w:szCs w:val="22"/>
          <w:lang w:val="en-AU"/>
        </w:rPr>
      </w:pPr>
    </w:p>
    <w:p w14:paraId="04B60912" w14:textId="77777777" w:rsidR="000A5CFA" w:rsidRPr="00490DCE" w:rsidRDefault="000A5CFA">
      <w:pPr>
        <w:pStyle w:val="tabletitle"/>
        <w:rPr>
          <w:rFonts w:cs="Arial"/>
        </w:rPr>
      </w:pPr>
      <w:r w:rsidRPr="00490DCE">
        <w:rPr>
          <w:rFonts w:cs="Arial"/>
        </w:rPr>
        <w:t>3.1.11 Immigration and Citizenship</w:t>
      </w:r>
    </w:p>
    <w:tbl>
      <w:tblPr>
        <w:tblStyle w:val="LightList"/>
        <w:tblW w:w="5000" w:type="pct"/>
        <w:tblLook w:val="0020" w:firstRow="1" w:lastRow="0" w:firstColumn="0" w:lastColumn="0" w:noHBand="0" w:noVBand="0"/>
        <w:tblDescription w:val="2012-13 RIS compliance - Department of Immigration and Citizenship"/>
      </w:tblPr>
      <w:tblGrid>
        <w:gridCol w:w="699"/>
        <w:gridCol w:w="5448"/>
        <w:gridCol w:w="1235"/>
        <w:gridCol w:w="1233"/>
        <w:gridCol w:w="1233"/>
      </w:tblGrid>
      <w:tr w:rsidR="000A5CFA" w:rsidRPr="00490DCE" w14:paraId="088C3C6C"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686B2F5"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C400A95"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06F69F6E"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3E4EE82C"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742DB613"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18AEEBCB"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09988C03"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3C98E006"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FE2D882"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Reforms to the Temporary Work (Skilled) (Subclass 457) Visa Program </w:t>
            </w:r>
          </w:p>
        </w:tc>
      </w:tr>
      <w:tr w:rsidR="000A5CFA" w:rsidRPr="00490DCE" w14:paraId="76B3C5FB"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FD71621"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978C290"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 xml:space="preserve">Several measures to tighten foreign temporary skilled work visa obligations. </w:t>
            </w:r>
          </w:p>
        </w:tc>
        <w:tc>
          <w:tcPr>
            <w:cnfStyle w:val="000010000000" w:firstRow="0" w:lastRow="0" w:firstColumn="0" w:lastColumn="0" w:oddVBand="1" w:evenVBand="0" w:oddHBand="0" w:evenHBand="0" w:firstRowFirstColumn="0" w:firstRowLastColumn="0" w:lastRowFirstColumn="0" w:lastRowLastColumn="0"/>
            <w:tcW w:w="627" w:type="pct"/>
          </w:tcPr>
          <w:p w14:paraId="78CCC83B"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626" w:type="pct"/>
          </w:tcPr>
          <w:p w14:paraId="632A68E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c>
          <w:tcPr>
            <w:cnfStyle w:val="000010000000" w:firstRow="0" w:lastRow="0" w:firstColumn="0" w:lastColumn="0" w:oddVBand="1" w:evenVBand="0" w:oddHBand="0" w:evenHBand="0" w:firstRowFirstColumn="0" w:firstRowLastColumn="0" w:lastRowFirstColumn="0" w:lastRowLastColumn="0"/>
            <w:tcW w:w="627" w:type="pct"/>
          </w:tcPr>
          <w:p w14:paraId="6D086912"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64E7EEC8"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9BF247E" w14:textId="77777777" w:rsidR="000A5CFA" w:rsidRPr="00ED30AB" w:rsidRDefault="000A5CFA">
            <w:pPr>
              <w:pStyle w:val="body"/>
              <w:rPr>
                <w:rFonts w:ascii="Arial" w:hAnsi="Arial" w:cs="Arial"/>
                <w:b/>
                <w:color w:val="auto"/>
              </w:rPr>
            </w:pPr>
            <w:r w:rsidRPr="00ED30AB">
              <w:rPr>
                <w:rStyle w:val="bold"/>
                <w:rFonts w:ascii="Arial" w:hAnsi="Arial" w:cs="Arial"/>
                <w:b/>
                <w:color w:val="auto"/>
              </w:rPr>
              <w:t xml:space="preserve">Sponsorship Obligation Amendments </w:t>
            </w:r>
          </w:p>
        </w:tc>
      </w:tr>
      <w:tr w:rsidR="000A5CFA" w:rsidRPr="00490DCE" w14:paraId="596F1ED5"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0C055E9"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DAC8AA8"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Amends existing regulations to change certain subclass 457 visa sponsorship obligations.</w:t>
            </w:r>
          </w:p>
        </w:tc>
        <w:tc>
          <w:tcPr>
            <w:cnfStyle w:val="000010000000" w:firstRow="0" w:lastRow="0" w:firstColumn="0" w:lastColumn="0" w:oddVBand="1" w:evenVBand="0" w:oddHBand="0" w:evenHBand="0" w:firstRowFirstColumn="0" w:firstRowLastColumn="0" w:lastRowFirstColumn="0" w:lastRowLastColumn="0"/>
            <w:tcW w:w="627" w:type="pct"/>
          </w:tcPr>
          <w:p w14:paraId="3F504605" w14:textId="77777777" w:rsidR="000A5CFA" w:rsidRPr="00490DCE" w:rsidRDefault="000A5CFA">
            <w:pPr>
              <w:pStyle w:val="body"/>
              <w:jc w:val="center"/>
              <w:rPr>
                <w:rFonts w:ascii="Arial" w:hAnsi="Arial" w:cs="Arial"/>
                <w:color w:val="auto"/>
              </w:rPr>
            </w:pPr>
            <w:r w:rsidRPr="00490DCE">
              <w:rPr>
                <w:rFonts w:ascii="Arial" w:hAnsi="Arial" w:cs="Arial"/>
                <w:color w:val="auto"/>
              </w:rPr>
              <w:t xml:space="preserve">Yes </w:t>
            </w:r>
          </w:p>
        </w:tc>
        <w:tc>
          <w:tcPr>
            <w:tcW w:w="626" w:type="pct"/>
          </w:tcPr>
          <w:p w14:paraId="059AF26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4512E6F" w14:textId="77777777" w:rsidR="000A5CFA" w:rsidRPr="00490DCE" w:rsidRDefault="000A5CFA">
            <w:pPr>
              <w:pStyle w:val="body"/>
              <w:jc w:val="center"/>
              <w:rPr>
                <w:rFonts w:ascii="Arial" w:hAnsi="Arial" w:cs="Arial"/>
                <w:color w:val="auto"/>
              </w:rPr>
            </w:pPr>
            <w:r w:rsidRPr="00490DCE">
              <w:rPr>
                <w:rFonts w:ascii="Arial" w:hAnsi="Arial" w:cs="Arial"/>
                <w:color w:val="auto"/>
              </w:rPr>
              <w:t xml:space="preserve">No </w:t>
            </w:r>
          </w:p>
        </w:tc>
      </w:tr>
      <w:tr w:rsidR="000A5CFA" w:rsidRPr="00490DCE" w14:paraId="428B3A0F"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16FEA84C" w14:textId="77777777" w:rsidR="000A5CFA" w:rsidRPr="00ED30AB" w:rsidRDefault="000A5CFA">
            <w:pPr>
              <w:pStyle w:val="body"/>
              <w:rPr>
                <w:rFonts w:ascii="Arial" w:hAnsi="Arial" w:cs="Arial"/>
                <w:b/>
                <w:color w:val="auto"/>
              </w:rPr>
            </w:pPr>
            <w:r w:rsidRPr="00ED30AB">
              <w:rPr>
                <w:rStyle w:val="bold"/>
                <w:rFonts w:ascii="Arial" w:hAnsi="Arial" w:cs="Arial"/>
                <w:b/>
                <w:color w:val="auto"/>
              </w:rPr>
              <w:t>Migration Amendment (Offshore Work and Other Measures) Bill 2013</w:t>
            </w:r>
          </w:p>
        </w:tc>
      </w:tr>
      <w:tr w:rsidR="000A5CFA" w:rsidRPr="00490DCE" w14:paraId="69D9E317"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23F321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D721BC8"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Extends the coverage of the migration zone to vessels which are not attached to the seabed.</w:t>
            </w:r>
          </w:p>
        </w:tc>
        <w:tc>
          <w:tcPr>
            <w:cnfStyle w:val="000010000000" w:firstRow="0" w:lastRow="0" w:firstColumn="0" w:lastColumn="0" w:oddVBand="1" w:evenVBand="0" w:oddHBand="0" w:evenHBand="0" w:firstRowFirstColumn="0" w:firstRowLastColumn="0" w:lastRowFirstColumn="0" w:lastRowLastColumn="0"/>
            <w:tcW w:w="627" w:type="pct"/>
          </w:tcPr>
          <w:p w14:paraId="1DA0D01A" w14:textId="77777777" w:rsidR="000A5CFA" w:rsidRPr="00490DCE" w:rsidRDefault="000A5CFA">
            <w:pPr>
              <w:pStyle w:val="body"/>
              <w:jc w:val="center"/>
              <w:rPr>
                <w:rFonts w:ascii="Arial" w:hAnsi="Arial" w:cs="Arial"/>
                <w:color w:val="auto"/>
              </w:rPr>
            </w:pPr>
            <w:r w:rsidRPr="00490DCE">
              <w:rPr>
                <w:rFonts w:ascii="Arial" w:hAnsi="Arial" w:cs="Arial"/>
                <w:color w:val="auto"/>
              </w:rPr>
              <w:t xml:space="preserve">Yes </w:t>
            </w:r>
          </w:p>
        </w:tc>
        <w:tc>
          <w:tcPr>
            <w:tcW w:w="626" w:type="pct"/>
          </w:tcPr>
          <w:p w14:paraId="3D5C467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8074474" w14:textId="77777777" w:rsidR="000A5CFA" w:rsidRPr="00490DCE" w:rsidRDefault="000A5CFA">
            <w:pPr>
              <w:pStyle w:val="body"/>
              <w:jc w:val="center"/>
              <w:rPr>
                <w:rFonts w:ascii="Arial" w:hAnsi="Arial" w:cs="Arial"/>
                <w:color w:val="auto"/>
              </w:rPr>
            </w:pPr>
            <w:r w:rsidRPr="00490DCE">
              <w:rPr>
                <w:rFonts w:ascii="Arial" w:hAnsi="Arial" w:cs="Arial"/>
                <w:color w:val="auto"/>
              </w:rPr>
              <w:t xml:space="preserve">No </w:t>
            </w:r>
          </w:p>
        </w:tc>
      </w:tr>
      <w:tr w:rsidR="000A5CFA" w:rsidRPr="00490DCE" w14:paraId="341422C1" w14:textId="77777777" w:rsidTr="000A6775">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6E9D819" w14:textId="77777777" w:rsidR="000A5CFA" w:rsidRPr="00ED30AB" w:rsidRDefault="000A5CFA">
            <w:pPr>
              <w:pStyle w:val="body"/>
              <w:rPr>
                <w:rFonts w:ascii="Arial" w:hAnsi="Arial" w:cs="Arial"/>
                <w:b/>
                <w:color w:val="auto"/>
              </w:rPr>
            </w:pPr>
            <w:r w:rsidRPr="00ED30AB">
              <w:rPr>
                <w:rStyle w:val="bold"/>
                <w:rFonts w:ascii="Arial" w:hAnsi="Arial" w:cs="Arial"/>
                <w:b/>
                <w:color w:val="auto"/>
              </w:rPr>
              <w:t>Labour Market Testing for 457 Visa Sponsors</w:t>
            </w:r>
          </w:p>
        </w:tc>
      </w:tr>
      <w:tr w:rsidR="000A5CFA" w:rsidRPr="00490DCE" w14:paraId="576F140D" w14:textId="77777777" w:rsidTr="000A6775">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38620A1"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B9E8426"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Introduces labour market testing requirements for prospective 457 visa sponsors.</w:t>
            </w:r>
          </w:p>
        </w:tc>
        <w:tc>
          <w:tcPr>
            <w:cnfStyle w:val="000010000000" w:firstRow="0" w:lastRow="0" w:firstColumn="0" w:lastColumn="0" w:oddVBand="1" w:evenVBand="0" w:oddHBand="0" w:evenHBand="0" w:firstRowFirstColumn="0" w:firstRowLastColumn="0" w:lastRowFirstColumn="0" w:lastRowLastColumn="0"/>
            <w:tcW w:w="627" w:type="pct"/>
          </w:tcPr>
          <w:p w14:paraId="1B408078"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148D4D3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0BD7233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bl>
    <w:p w14:paraId="5B612876" w14:textId="77777777" w:rsidR="000A5CFA" w:rsidRPr="00490DCE" w:rsidRDefault="000A5CFA">
      <w:pPr>
        <w:pStyle w:val="body"/>
        <w:rPr>
          <w:rFonts w:ascii="Arial" w:hAnsi="Arial" w:cs="Arial"/>
          <w:color w:val="auto"/>
          <w:sz w:val="16"/>
          <w:szCs w:val="16"/>
          <w:lang w:val="en-AU"/>
        </w:rPr>
      </w:pPr>
    </w:p>
    <w:p w14:paraId="395A2CBB" w14:textId="77777777" w:rsidR="000A5CFA" w:rsidRPr="00490DCE" w:rsidRDefault="000A5CFA">
      <w:pPr>
        <w:pStyle w:val="note"/>
        <w:rPr>
          <w:rFonts w:cs="Arial"/>
          <w:color w:val="auto"/>
        </w:rPr>
      </w:pPr>
      <w:r w:rsidRPr="00490DCE">
        <w:rPr>
          <w:rFonts w:cs="Arial"/>
          <w:color w:val="auto"/>
        </w:rPr>
        <w:t>E/c Exceptional circumstances were granted by the Prime Minister</w:t>
      </w:r>
    </w:p>
    <w:p w14:paraId="5372D10F" w14:textId="77777777" w:rsidR="000A5CFA" w:rsidRPr="00490DCE" w:rsidRDefault="000A6775">
      <w:pPr>
        <w:pStyle w:val="tabletitle"/>
        <w:rPr>
          <w:rFonts w:cs="Arial"/>
        </w:rPr>
      </w:pPr>
      <w:r w:rsidRPr="00490DCE">
        <w:rPr>
          <w:rFonts w:cs="Arial"/>
        </w:rPr>
        <w:br w:type="page"/>
      </w:r>
      <w:r w:rsidR="000A5CFA" w:rsidRPr="00490DCE">
        <w:rPr>
          <w:rFonts w:cs="Arial"/>
        </w:rPr>
        <w:lastRenderedPageBreak/>
        <w:t>3.1.12 Industry, Innovation, Climate Change, Science, Research and Tertiary Education</w:t>
      </w:r>
    </w:p>
    <w:tbl>
      <w:tblPr>
        <w:tblStyle w:val="LightList"/>
        <w:tblW w:w="5000" w:type="pct"/>
        <w:tblLook w:val="0020" w:firstRow="1" w:lastRow="0" w:firstColumn="0" w:lastColumn="0" w:noHBand="0" w:noVBand="0"/>
        <w:tblDescription w:val="2012-13 RIS compliance - Department of Industry, Innovation, Climate Change, Science, Research and Tertiary Education"/>
      </w:tblPr>
      <w:tblGrid>
        <w:gridCol w:w="699"/>
        <w:gridCol w:w="5448"/>
        <w:gridCol w:w="1235"/>
        <w:gridCol w:w="1233"/>
        <w:gridCol w:w="1233"/>
      </w:tblGrid>
      <w:tr w:rsidR="000A5CFA" w:rsidRPr="00490DCE" w14:paraId="64A922F8"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6CAFF18"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97434AC"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7AF699F"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2F73D753"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0A184779"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607AA8E6"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5CAE6561"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555D0304"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A157CAE"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Australian Government Response to Recommendations from the Climate Change Authority Review of the Renewable Energy Target Scheme</w:t>
            </w:r>
          </w:p>
        </w:tc>
      </w:tr>
      <w:tr w:rsidR="000A5CFA" w:rsidRPr="00490DCE" w14:paraId="44635F77"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6C498831"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BFAB48A"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spacing w:val="-5"/>
              </w:rPr>
              <w:t>Agree to the Climate Change Authority’s recommendations to retain the key design features of the Renewable Energy Target, and to implement minor changes to contain costs and improve scheme efficiency.</w:t>
            </w:r>
          </w:p>
        </w:tc>
        <w:tc>
          <w:tcPr>
            <w:cnfStyle w:val="000010000000" w:firstRow="0" w:lastRow="0" w:firstColumn="0" w:lastColumn="0" w:oddVBand="1" w:evenVBand="0" w:oddHBand="0" w:evenHBand="0" w:firstRowFirstColumn="0" w:firstRowLastColumn="0" w:lastRowFirstColumn="0" w:lastRowLastColumn="0"/>
            <w:tcW w:w="627" w:type="pct"/>
          </w:tcPr>
          <w:p w14:paraId="3BECEBF9"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0B25812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8D7A861"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13B4686"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35223FC" w14:textId="77777777" w:rsidR="000A5CFA" w:rsidRPr="00ED30AB" w:rsidRDefault="000A5CFA">
            <w:pPr>
              <w:pStyle w:val="body"/>
              <w:rPr>
                <w:rFonts w:ascii="Arial" w:hAnsi="Arial" w:cs="Arial"/>
                <w:b/>
                <w:color w:val="auto"/>
              </w:rPr>
            </w:pPr>
            <w:r w:rsidRPr="00ED30AB">
              <w:rPr>
                <w:rStyle w:val="bold"/>
                <w:rFonts w:ascii="Arial" w:hAnsi="Arial" w:cs="Arial"/>
                <w:b/>
                <w:color w:val="auto"/>
              </w:rPr>
              <w:t>Invoking the Crown Use provisions for a Patented Invention</w:t>
            </w:r>
          </w:p>
        </w:tc>
      </w:tr>
      <w:tr w:rsidR="000A5CFA" w:rsidRPr="00490DCE" w14:paraId="3F3FB0B5"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A0D6391"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EB15FE8"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Amendments to provide certainty about the scope of Crown use and improve transparency and accountability.</w:t>
            </w:r>
          </w:p>
        </w:tc>
        <w:tc>
          <w:tcPr>
            <w:cnfStyle w:val="000010000000" w:firstRow="0" w:lastRow="0" w:firstColumn="0" w:lastColumn="0" w:oddVBand="1" w:evenVBand="0" w:oddHBand="0" w:evenHBand="0" w:firstRowFirstColumn="0" w:firstRowLastColumn="0" w:lastRowFirstColumn="0" w:lastRowLastColumn="0"/>
            <w:tcW w:w="627" w:type="pct"/>
          </w:tcPr>
          <w:p w14:paraId="35B923E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AA2CF2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2F1BF2A"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6EEEE1C"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096AF2BD" w14:textId="77777777" w:rsidR="000A5CFA" w:rsidRPr="00ED30AB" w:rsidRDefault="000A5CFA">
            <w:pPr>
              <w:pStyle w:val="body"/>
              <w:rPr>
                <w:rFonts w:ascii="Arial" w:hAnsi="Arial" w:cs="Arial"/>
                <w:b/>
                <w:color w:val="auto"/>
              </w:rPr>
            </w:pPr>
            <w:r w:rsidRPr="00ED30AB">
              <w:rPr>
                <w:rStyle w:val="bold"/>
                <w:rFonts w:ascii="Arial" w:hAnsi="Arial" w:cs="Arial"/>
                <w:b/>
                <w:color w:val="auto"/>
              </w:rPr>
              <w:t>VET FEE-HELP Redesign</w:t>
            </w:r>
          </w:p>
        </w:tc>
      </w:tr>
      <w:tr w:rsidR="000A5CFA" w:rsidRPr="00490DCE" w14:paraId="0DDC47FA"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7731A3E0"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668C44E"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Redesigns the VET FEE-HELP scheme to improve the up-take by vocational education students.</w:t>
            </w:r>
          </w:p>
        </w:tc>
        <w:tc>
          <w:tcPr>
            <w:cnfStyle w:val="000010000000" w:firstRow="0" w:lastRow="0" w:firstColumn="0" w:lastColumn="0" w:oddVBand="1" w:evenVBand="0" w:oddHBand="0" w:evenHBand="0" w:firstRowFirstColumn="0" w:firstRowLastColumn="0" w:lastRowFirstColumn="0" w:lastRowLastColumn="0"/>
            <w:tcW w:w="627" w:type="pct"/>
          </w:tcPr>
          <w:p w14:paraId="3C3FCEF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6F3790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577BEB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B61E577"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6C1FF09" w14:textId="77777777" w:rsidR="000A5CFA" w:rsidRPr="00ED30AB" w:rsidRDefault="000A5CFA">
            <w:pPr>
              <w:pStyle w:val="body"/>
              <w:rPr>
                <w:rFonts w:ascii="Arial" w:hAnsi="Arial" w:cs="Arial"/>
                <w:b/>
                <w:color w:val="auto"/>
              </w:rPr>
            </w:pPr>
            <w:r w:rsidRPr="00ED30AB">
              <w:rPr>
                <w:rStyle w:val="bold"/>
                <w:rFonts w:ascii="Arial" w:hAnsi="Arial" w:cs="Arial"/>
                <w:b/>
                <w:color w:val="auto"/>
              </w:rPr>
              <w:t>Changes to the Anti-dumping Regime</w:t>
            </w:r>
          </w:p>
        </w:tc>
      </w:tr>
      <w:tr w:rsidR="000A5CFA" w:rsidRPr="00490DCE" w14:paraId="25AF3BCC" w14:textId="77777777" w:rsidTr="00775ABB">
        <w:trPr>
          <w:trHeight w:val="315"/>
        </w:trPr>
        <w:tc>
          <w:tcPr>
            <w:cnfStyle w:val="000010000000" w:firstRow="0" w:lastRow="0" w:firstColumn="0" w:lastColumn="0" w:oddVBand="1" w:evenVBand="0" w:oddHBand="0" w:evenHBand="0" w:firstRowFirstColumn="0" w:firstRowLastColumn="0" w:lastRowFirstColumn="0" w:lastRowLastColumn="0"/>
            <w:tcW w:w="355" w:type="pct"/>
          </w:tcPr>
          <w:p w14:paraId="25AD075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9FF2084"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Changes to Australia’s anti-dumping regime to improve timeliness of investigations.</w:t>
            </w:r>
          </w:p>
        </w:tc>
        <w:tc>
          <w:tcPr>
            <w:cnfStyle w:val="000010000000" w:firstRow="0" w:lastRow="0" w:firstColumn="0" w:lastColumn="0" w:oddVBand="1" w:evenVBand="0" w:oddHBand="0" w:evenHBand="0" w:firstRowFirstColumn="0" w:firstRowLastColumn="0" w:lastRowFirstColumn="0" w:lastRowLastColumn="0"/>
            <w:tcW w:w="627" w:type="pct"/>
          </w:tcPr>
          <w:p w14:paraId="4B8F639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6EC403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406960B1"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1B07F7B"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E95BE40" w14:textId="77777777" w:rsidR="000A5CFA" w:rsidRPr="00ED30AB" w:rsidRDefault="000A5CFA">
            <w:pPr>
              <w:pStyle w:val="body"/>
              <w:rPr>
                <w:rFonts w:ascii="Arial" w:hAnsi="Arial" w:cs="Arial"/>
                <w:b/>
                <w:color w:val="auto"/>
              </w:rPr>
            </w:pPr>
            <w:r w:rsidRPr="00ED30AB">
              <w:rPr>
                <w:rStyle w:val="bold"/>
                <w:rFonts w:ascii="Arial" w:hAnsi="Arial" w:cs="Arial"/>
                <w:b/>
                <w:color w:val="auto"/>
              </w:rPr>
              <w:t>Electricity Meters</w:t>
            </w:r>
          </w:p>
        </w:tc>
      </w:tr>
      <w:tr w:rsidR="000A5CFA" w:rsidRPr="00490DCE" w14:paraId="22D86ACB" w14:textId="77777777" w:rsidTr="00775ABB">
        <w:trPr>
          <w:trHeight w:val="315"/>
        </w:trPr>
        <w:tc>
          <w:tcPr>
            <w:cnfStyle w:val="000010000000" w:firstRow="0" w:lastRow="0" w:firstColumn="0" w:lastColumn="0" w:oddVBand="1" w:evenVBand="0" w:oddHBand="0" w:evenHBand="0" w:firstRowFirstColumn="0" w:firstRowLastColumn="0" w:lastRowFirstColumn="0" w:lastRowLastColumn="0"/>
            <w:tcW w:w="355" w:type="pct"/>
          </w:tcPr>
          <w:p w14:paraId="4B17708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D455CAF"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Removal of exemption from pattern approval and verification for a subset of electricity meters.</w:t>
            </w:r>
          </w:p>
        </w:tc>
        <w:tc>
          <w:tcPr>
            <w:cnfStyle w:val="000010000000" w:firstRow="0" w:lastRow="0" w:firstColumn="0" w:lastColumn="0" w:oddVBand="1" w:evenVBand="0" w:oddHBand="0" w:evenHBand="0" w:firstRowFirstColumn="0" w:firstRowLastColumn="0" w:lastRowFirstColumn="0" w:lastRowLastColumn="0"/>
            <w:tcW w:w="627" w:type="pct"/>
          </w:tcPr>
          <w:p w14:paraId="49019DC2"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E0E02C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5A8E5ED1"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1B249B40"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385B2AE" w14:textId="77777777" w:rsidR="000A5CFA" w:rsidRPr="00ED30AB" w:rsidRDefault="000A5CFA">
            <w:pPr>
              <w:pStyle w:val="body"/>
              <w:rPr>
                <w:rFonts w:ascii="Arial" w:hAnsi="Arial" w:cs="Arial"/>
                <w:b/>
                <w:color w:val="auto"/>
              </w:rPr>
            </w:pPr>
            <w:r w:rsidRPr="00ED30AB">
              <w:rPr>
                <w:rStyle w:val="bold"/>
                <w:rFonts w:ascii="Arial" w:hAnsi="Arial" w:cs="Arial"/>
                <w:b/>
                <w:color w:val="auto"/>
              </w:rPr>
              <w:t>Strengthening Australian Industry Participation</w:t>
            </w:r>
          </w:p>
        </w:tc>
      </w:tr>
      <w:tr w:rsidR="000A5CFA" w:rsidRPr="00490DCE" w14:paraId="4F6B612A" w14:textId="77777777" w:rsidTr="00775ABB">
        <w:trPr>
          <w:trHeight w:val="315"/>
        </w:trPr>
        <w:tc>
          <w:tcPr>
            <w:cnfStyle w:val="000010000000" w:firstRow="0" w:lastRow="0" w:firstColumn="0" w:lastColumn="0" w:oddVBand="1" w:evenVBand="0" w:oddHBand="0" w:evenHBand="0" w:firstRowFirstColumn="0" w:firstRowLastColumn="0" w:lastRowFirstColumn="0" w:lastRowLastColumn="0"/>
            <w:tcW w:w="355" w:type="pct"/>
          </w:tcPr>
          <w:p w14:paraId="6664982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C2DE8F5"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Requires all projects over $500 million in value to undertake an Australian Industry Participation Plan.</w:t>
            </w:r>
          </w:p>
        </w:tc>
        <w:tc>
          <w:tcPr>
            <w:cnfStyle w:val="000010000000" w:firstRow="0" w:lastRow="0" w:firstColumn="0" w:lastColumn="0" w:oddVBand="1" w:evenVBand="0" w:oddHBand="0" w:evenHBand="0" w:firstRowFirstColumn="0" w:firstRowLastColumn="0" w:lastRowFirstColumn="0" w:lastRowLastColumn="0"/>
            <w:tcW w:w="627" w:type="pct"/>
          </w:tcPr>
          <w:p w14:paraId="484EE23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548F7F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B5DFACD"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A580047" w14:textId="77777777" w:rsidTr="00775ABB">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657B682A" w14:textId="77777777" w:rsidR="000A5CFA" w:rsidRPr="00ED30AB" w:rsidRDefault="000A5CFA">
            <w:pPr>
              <w:pStyle w:val="body"/>
              <w:rPr>
                <w:rFonts w:ascii="Arial" w:hAnsi="Arial" w:cs="Arial"/>
                <w:b/>
                <w:color w:val="auto"/>
              </w:rPr>
            </w:pPr>
            <w:r w:rsidRPr="00ED30AB">
              <w:rPr>
                <w:rStyle w:val="bold"/>
                <w:rFonts w:ascii="Arial" w:hAnsi="Arial" w:cs="Arial"/>
                <w:b/>
                <w:color w:val="auto"/>
              </w:rPr>
              <w:t>Interim Partial (One-Way) Link between the Australian Carbon Pricing Mechanism and the EU Emissions Trading System</w:t>
            </w:r>
          </w:p>
        </w:tc>
      </w:tr>
      <w:tr w:rsidR="000A5CFA" w:rsidRPr="00490DCE" w14:paraId="0DCAA73B"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2D0F88A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7FA0E83"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Enables Australian businesses to use European Union allowances to help meet liabilities under the Australian CPM.</w:t>
            </w:r>
          </w:p>
        </w:tc>
        <w:tc>
          <w:tcPr>
            <w:cnfStyle w:val="000010000000" w:firstRow="0" w:lastRow="0" w:firstColumn="0" w:lastColumn="0" w:oddVBand="1" w:evenVBand="0" w:oddHBand="0" w:evenHBand="0" w:firstRowFirstColumn="0" w:firstRowLastColumn="0" w:lastRowFirstColumn="0" w:lastRowLastColumn="0"/>
            <w:tcW w:w="627" w:type="pct"/>
          </w:tcPr>
          <w:p w14:paraId="5F0B98F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AF94D9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921B93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0FAC564"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27E43C6" w14:textId="77777777" w:rsidR="000A5CFA" w:rsidRPr="00ED30AB" w:rsidRDefault="000A5CFA">
            <w:pPr>
              <w:pStyle w:val="body"/>
              <w:rPr>
                <w:rFonts w:ascii="Arial" w:hAnsi="Arial" w:cs="Arial"/>
                <w:b/>
                <w:color w:val="auto"/>
              </w:rPr>
            </w:pPr>
            <w:r w:rsidRPr="00ED30AB">
              <w:rPr>
                <w:rStyle w:val="bold"/>
                <w:rFonts w:ascii="Arial" w:hAnsi="Arial" w:cs="Arial"/>
                <w:b/>
                <w:color w:val="auto"/>
              </w:rPr>
              <w:t>Auctions for Carbon Units: Auction Schedule, Frequency and Collateral</w:t>
            </w:r>
          </w:p>
        </w:tc>
      </w:tr>
      <w:tr w:rsidR="000A5CFA" w:rsidRPr="00490DCE" w14:paraId="74C4573C"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F736B97"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9F346AA"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Design features of carbon unit auctions, namely the auction schedule, the carbon unit limit, the frequency of auctions, and collateral requirements.</w:t>
            </w:r>
          </w:p>
        </w:tc>
        <w:tc>
          <w:tcPr>
            <w:cnfStyle w:val="000010000000" w:firstRow="0" w:lastRow="0" w:firstColumn="0" w:lastColumn="0" w:oddVBand="1" w:evenVBand="0" w:oddHBand="0" w:evenHBand="0" w:firstRowFirstColumn="0" w:firstRowLastColumn="0" w:lastRowFirstColumn="0" w:lastRowLastColumn="0"/>
            <w:tcW w:w="627" w:type="pct"/>
          </w:tcPr>
          <w:p w14:paraId="74EAB42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6B0F536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45FF78A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1ED7DA4"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B539E52" w14:textId="77777777" w:rsidR="000A5CFA" w:rsidRPr="00ED30AB" w:rsidRDefault="000A5CFA">
            <w:pPr>
              <w:pStyle w:val="body"/>
              <w:rPr>
                <w:rFonts w:ascii="Arial" w:hAnsi="Arial" w:cs="Arial"/>
                <w:b/>
                <w:color w:val="auto"/>
              </w:rPr>
            </w:pPr>
            <w:r w:rsidRPr="00ED30AB">
              <w:rPr>
                <w:rStyle w:val="bold"/>
                <w:rFonts w:ascii="Arial" w:hAnsi="Arial" w:cs="Arial"/>
                <w:b/>
                <w:color w:val="auto"/>
              </w:rPr>
              <w:t>Phase Out of the Solar Credits Mechanism</w:t>
            </w:r>
          </w:p>
        </w:tc>
      </w:tr>
      <w:tr w:rsidR="000A5CFA" w:rsidRPr="00490DCE" w14:paraId="7B853067"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EF9CBDA"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600E4AC7" w14:textId="77777777" w:rsidR="000A5CFA" w:rsidRPr="00ED30AB"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ED30AB">
              <w:rPr>
                <w:rStyle w:val="italic"/>
                <w:rFonts w:ascii="Arial" w:hAnsi="Arial" w:cs="Arial"/>
                <w:i/>
                <w:color w:val="auto"/>
              </w:rPr>
              <w:t>To phase out the solar credits mechanism on 1 January 2013, six months earlier than scheduled.</w:t>
            </w:r>
          </w:p>
        </w:tc>
        <w:tc>
          <w:tcPr>
            <w:cnfStyle w:val="000010000000" w:firstRow="0" w:lastRow="0" w:firstColumn="0" w:lastColumn="0" w:oddVBand="1" w:evenVBand="0" w:oddHBand="0" w:evenHBand="0" w:firstRowFirstColumn="0" w:firstRowLastColumn="0" w:lastRowFirstColumn="0" w:lastRowLastColumn="0"/>
            <w:tcW w:w="627" w:type="pct"/>
          </w:tcPr>
          <w:p w14:paraId="1F57934E"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7DBAD71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7" w:type="pct"/>
          </w:tcPr>
          <w:p w14:paraId="03DACA07"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bl>
    <w:p w14:paraId="3F9ED2A8" w14:textId="77777777" w:rsidR="000A5CFA" w:rsidRPr="00490DCE" w:rsidRDefault="000A5CFA">
      <w:pPr>
        <w:pStyle w:val="body"/>
        <w:rPr>
          <w:rFonts w:ascii="Arial" w:hAnsi="Arial" w:cs="Arial"/>
          <w:color w:val="auto"/>
        </w:rPr>
      </w:pPr>
    </w:p>
    <w:p w14:paraId="4B045EF5" w14:textId="77777777" w:rsidR="000A5CFA" w:rsidRPr="00490DCE" w:rsidRDefault="000A5CFA">
      <w:pPr>
        <w:pStyle w:val="note"/>
        <w:rPr>
          <w:rFonts w:cs="Arial"/>
          <w:color w:val="auto"/>
        </w:rPr>
      </w:pPr>
      <w:r w:rsidRPr="00490DCE">
        <w:rPr>
          <w:rFonts w:cs="Arial"/>
          <w:color w:val="auto"/>
        </w:rPr>
        <w:t>E/c Exceptional circumstances were granted by the Prime Minister</w:t>
      </w:r>
    </w:p>
    <w:p w14:paraId="01BBB460" w14:textId="77777777" w:rsidR="000A5CFA" w:rsidRPr="00490DCE" w:rsidRDefault="000A5CFA">
      <w:pPr>
        <w:pStyle w:val="tabletitle"/>
        <w:rPr>
          <w:rFonts w:cs="Arial"/>
        </w:rPr>
      </w:pPr>
    </w:p>
    <w:p w14:paraId="19037269" w14:textId="77777777" w:rsidR="000A5CFA" w:rsidRPr="00490DCE" w:rsidRDefault="00775ABB">
      <w:pPr>
        <w:pStyle w:val="tabletitle"/>
        <w:rPr>
          <w:rFonts w:cs="Arial"/>
        </w:rPr>
      </w:pPr>
      <w:r w:rsidRPr="00490DCE">
        <w:rPr>
          <w:rFonts w:cs="Arial"/>
        </w:rPr>
        <w:br w:type="page"/>
      </w:r>
      <w:r w:rsidR="000A5CFA" w:rsidRPr="00490DCE">
        <w:rPr>
          <w:rFonts w:cs="Arial"/>
        </w:rPr>
        <w:lastRenderedPageBreak/>
        <w:t>3.1.13 Infrastructure and Transport</w:t>
      </w:r>
    </w:p>
    <w:tbl>
      <w:tblPr>
        <w:tblStyle w:val="LightList"/>
        <w:tblW w:w="5000" w:type="pct"/>
        <w:tblLook w:val="0020" w:firstRow="1" w:lastRow="0" w:firstColumn="0" w:lastColumn="0" w:noHBand="0" w:noVBand="0"/>
        <w:tblDescription w:val="2012-13 RIS compliance - Department of Infrastructure and Transport"/>
      </w:tblPr>
      <w:tblGrid>
        <w:gridCol w:w="699"/>
        <w:gridCol w:w="5448"/>
        <w:gridCol w:w="1235"/>
        <w:gridCol w:w="1233"/>
        <w:gridCol w:w="1233"/>
      </w:tblGrid>
      <w:tr w:rsidR="000A5CFA" w:rsidRPr="00490DCE" w14:paraId="6CE24E21"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448EE14"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1CCC73F"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0DC3229"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5A7D3791"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10C9AC5E"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23E63AD6"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526BEF6B"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5EDD6130"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8047A86" w14:textId="77777777" w:rsidR="000A5CFA" w:rsidRPr="009E01A1" w:rsidRDefault="000A5CFA">
            <w:pPr>
              <w:pStyle w:val="body"/>
              <w:rPr>
                <w:rFonts w:ascii="Arial" w:hAnsi="Arial" w:cs="Arial"/>
                <w:b/>
                <w:color w:val="auto"/>
              </w:rPr>
            </w:pPr>
            <w:r w:rsidRPr="009E01A1">
              <w:rPr>
                <w:rStyle w:val="bold"/>
                <w:rFonts w:ascii="Arial" w:hAnsi="Arial" w:cs="Arial"/>
                <w:b/>
                <w:color w:val="auto"/>
              </w:rPr>
              <w:t>Implementation of Cape Town Convention</w:t>
            </w:r>
          </w:p>
        </w:tc>
      </w:tr>
      <w:tr w:rsidR="000A5CFA" w:rsidRPr="00490DCE" w14:paraId="23499765" w14:textId="77777777" w:rsidTr="00775ABB">
        <w:trPr>
          <w:trHeight w:val="312"/>
        </w:trPr>
        <w:tc>
          <w:tcPr>
            <w:cnfStyle w:val="000010000000" w:firstRow="0" w:lastRow="0" w:firstColumn="0" w:lastColumn="0" w:oddVBand="1" w:evenVBand="0" w:oddHBand="0" w:evenHBand="0" w:firstRowFirstColumn="0" w:firstRowLastColumn="0" w:lastRowFirstColumn="0" w:lastRowLastColumn="0"/>
            <w:tcW w:w="355" w:type="pct"/>
          </w:tcPr>
          <w:p w14:paraId="6DE647AD"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6589E80"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Accession to the convention will provide Australian airlines increased access to cheaper asset financing and provide financiers with increased certainty around applicable insolvency laws in Australia with regard to aircraft.</w:t>
            </w:r>
          </w:p>
        </w:tc>
        <w:tc>
          <w:tcPr>
            <w:cnfStyle w:val="000010000000" w:firstRow="0" w:lastRow="0" w:firstColumn="0" w:lastColumn="0" w:oddVBand="1" w:evenVBand="0" w:oddHBand="0" w:evenHBand="0" w:firstRowFirstColumn="0" w:firstRowLastColumn="0" w:lastRowFirstColumn="0" w:lastRowLastColumn="0"/>
            <w:tcW w:w="627" w:type="pct"/>
          </w:tcPr>
          <w:p w14:paraId="00C568A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04C5B1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C4FFA7D"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82B10CF"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941B0DE" w14:textId="77777777" w:rsidR="000A5CFA" w:rsidRPr="009E01A1" w:rsidRDefault="000A5CFA">
            <w:pPr>
              <w:pStyle w:val="body"/>
              <w:rPr>
                <w:rFonts w:ascii="Arial" w:hAnsi="Arial" w:cs="Arial"/>
                <w:b/>
                <w:color w:val="auto"/>
              </w:rPr>
            </w:pPr>
            <w:r w:rsidRPr="009E01A1">
              <w:rPr>
                <w:rStyle w:val="bold"/>
                <w:rFonts w:ascii="Arial" w:hAnsi="Arial" w:cs="Arial"/>
                <w:b/>
                <w:color w:val="auto"/>
              </w:rPr>
              <w:t>International Convention on Liability and Compensation for Damage in Connection with the Carriage of Hazardous and Noxious Substances (HNS) by Sea</w:t>
            </w:r>
          </w:p>
        </w:tc>
      </w:tr>
      <w:tr w:rsidR="000A5CFA" w:rsidRPr="00490DCE" w14:paraId="3E414751"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730BF1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641F08A1"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Establishes a liability and compensation regime covering damage arising from the carriage of HNS by ship as cargo.</w:t>
            </w:r>
          </w:p>
        </w:tc>
        <w:tc>
          <w:tcPr>
            <w:cnfStyle w:val="000010000000" w:firstRow="0" w:lastRow="0" w:firstColumn="0" w:lastColumn="0" w:oddVBand="1" w:evenVBand="0" w:oddHBand="0" w:evenHBand="0" w:firstRowFirstColumn="0" w:firstRowLastColumn="0" w:lastRowFirstColumn="0" w:lastRowLastColumn="0"/>
            <w:tcW w:w="627" w:type="pct"/>
          </w:tcPr>
          <w:p w14:paraId="159AE25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1E9822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63444D4"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6959C125" w14:textId="77777777" w:rsidR="000A5CFA" w:rsidRPr="00490DCE" w:rsidRDefault="000A5CFA">
      <w:pPr>
        <w:pStyle w:val="body"/>
        <w:rPr>
          <w:rFonts w:ascii="Arial" w:hAnsi="Arial" w:cs="Arial"/>
          <w:color w:val="auto"/>
          <w:sz w:val="22"/>
          <w:szCs w:val="22"/>
          <w:lang w:val="en-AU"/>
        </w:rPr>
      </w:pPr>
    </w:p>
    <w:p w14:paraId="335396A9" w14:textId="77777777" w:rsidR="000A5CFA" w:rsidRPr="00490DCE" w:rsidRDefault="000A5CFA">
      <w:pPr>
        <w:pStyle w:val="tabletitle"/>
        <w:rPr>
          <w:rFonts w:cs="Arial"/>
        </w:rPr>
      </w:pPr>
      <w:r w:rsidRPr="00490DCE">
        <w:rPr>
          <w:rFonts w:cs="Arial"/>
        </w:rPr>
        <w:t>3.1.14 Resources, Energy and Tourism</w:t>
      </w:r>
      <w:r w:rsidRPr="00490DCE">
        <w:rPr>
          <w:rStyle w:val="super"/>
          <w:rFonts w:cs="Arial"/>
        </w:rPr>
        <w:t>a</w:t>
      </w:r>
    </w:p>
    <w:tbl>
      <w:tblPr>
        <w:tblStyle w:val="LightList"/>
        <w:tblW w:w="5000" w:type="pct"/>
        <w:tblLook w:val="0020" w:firstRow="1" w:lastRow="0" w:firstColumn="0" w:lastColumn="0" w:noHBand="0" w:noVBand="0"/>
        <w:tblDescription w:val="2012-13 RIS compliance - Department of Resources, Energy and Tourism"/>
      </w:tblPr>
      <w:tblGrid>
        <w:gridCol w:w="699"/>
        <w:gridCol w:w="5448"/>
        <w:gridCol w:w="1235"/>
        <w:gridCol w:w="1233"/>
        <w:gridCol w:w="1233"/>
      </w:tblGrid>
      <w:tr w:rsidR="000A5CFA" w:rsidRPr="00490DCE" w14:paraId="101D81AB" w14:textId="77777777" w:rsidTr="007425EA">
        <w:trPr>
          <w:cnfStyle w:val="100000000000" w:firstRow="1" w:lastRow="0" w:firstColumn="0" w:lastColumn="0" w:oddVBand="0" w:evenVBand="0" w:oddHBand="0" w:evenHBand="0" w:firstRowFirstColumn="0" w:firstRowLastColumn="0" w:lastRowFirstColumn="0" w:lastRowLastColumn="0"/>
          <w:trHeight w:val="42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8C7B2A7"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13B7C97"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57043E28"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58D177D8"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76EF8836"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26" w:type="pct"/>
          </w:tcPr>
          <w:p w14:paraId="5E496B4A"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41A5D079"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PIR required</w:t>
            </w:r>
          </w:p>
        </w:tc>
      </w:tr>
      <w:tr w:rsidR="000A5CFA" w:rsidRPr="00490DCE" w14:paraId="2B28F43E"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2275D09" w14:textId="77777777" w:rsidR="000A5CFA" w:rsidRPr="009E01A1" w:rsidRDefault="000A5CFA">
            <w:pPr>
              <w:pStyle w:val="body"/>
              <w:rPr>
                <w:rFonts w:ascii="Arial" w:hAnsi="Arial" w:cs="Arial"/>
                <w:b/>
                <w:color w:val="auto"/>
              </w:rPr>
            </w:pPr>
            <w:r w:rsidRPr="009E01A1">
              <w:rPr>
                <w:rStyle w:val="bold"/>
                <w:rFonts w:ascii="Arial" w:hAnsi="Arial" w:cs="Arial"/>
                <w:b/>
                <w:color w:val="auto"/>
              </w:rPr>
              <w:t>Improving Australia’s Liquid Fuels Data</w:t>
            </w:r>
          </w:p>
        </w:tc>
      </w:tr>
      <w:tr w:rsidR="000A5CFA" w:rsidRPr="00490DCE" w14:paraId="7EB95680"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D2EBD6C"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6525BC56"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Introduction of mandatory reporting of petroleum statistics in the Australian fuel supply chain.</w:t>
            </w:r>
          </w:p>
        </w:tc>
        <w:tc>
          <w:tcPr>
            <w:cnfStyle w:val="000010000000" w:firstRow="0" w:lastRow="0" w:firstColumn="0" w:lastColumn="0" w:oddVBand="1" w:evenVBand="0" w:oddHBand="0" w:evenHBand="0" w:firstRowFirstColumn="0" w:firstRowLastColumn="0" w:lastRowFirstColumn="0" w:lastRowLastColumn="0"/>
            <w:tcW w:w="627" w:type="pct"/>
          </w:tcPr>
          <w:p w14:paraId="73B722D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3C10FD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08879E7"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39C351BE"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2738668F" w14:textId="77777777" w:rsidR="000A5CFA" w:rsidRPr="009E01A1" w:rsidRDefault="000A5CFA" w:rsidP="00775ABB">
            <w:pPr>
              <w:pStyle w:val="body"/>
              <w:rPr>
                <w:rFonts w:ascii="Arial" w:hAnsi="Arial" w:cs="Arial"/>
                <w:b/>
                <w:color w:val="auto"/>
              </w:rPr>
            </w:pPr>
            <w:r w:rsidRPr="009E01A1">
              <w:rPr>
                <w:rStyle w:val="bold"/>
                <w:rFonts w:ascii="Arial" w:hAnsi="Arial" w:cs="Arial"/>
                <w:b/>
                <w:color w:val="auto"/>
              </w:rPr>
              <w:t>Extending the Energy Efficiency Opportunities Program to Major New Developments and Expansion Projects</w:t>
            </w:r>
          </w:p>
        </w:tc>
      </w:tr>
      <w:tr w:rsidR="000A5CFA" w:rsidRPr="00490DCE" w14:paraId="192C00A2"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523BF0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764B462"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Requires large construction projects to undertake energy savings audits at the design stage.</w:t>
            </w:r>
          </w:p>
        </w:tc>
        <w:tc>
          <w:tcPr>
            <w:cnfStyle w:val="000010000000" w:firstRow="0" w:lastRow="0" w:firstColumn="0" w:lastColumn="0" w:oddVBand="1" w:evenVBand="0" w:oddHBand="0" w:evenHBand="0" w:firstRowFirstColumn="0" w:firstRowLastColumn="0" w:lastRowFirstColumn="0" w:lastRowLastColumn="0"/>
            <w:tcW w:w="627" w:type="pct"/>
          </w:tcPr>
          <w:p w14:paraId="0D68CD99"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r w:rsidRPr="00490DCE">
              <w:rPr>
                <w:rStyle w:val="super"/>
                <w:rFonts w:cs="Arial"/>
                <w:color w:val="auto"/>
              </w:rPr>
              <w:t>b</w:t>
            </w:r>
          </w:p>
        </w:tc>
        <w:tc>
          <w:tcPr>
            <w:tcW w:w="626" w:type="pct"/>
          </w:tcPr>
          <w:p w14:paraId="08A430B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r w:rsidRPr="00490DCE">
              <w:rPr>
                <w:rStyle w:val="super"/>
                <w:rFonts w:cs="Arial"/>
                <w:color w:val="auto"/>
              </w:rPr>
              <w:t>b</w:t>
            </w:r>
          </w:p>
        </w:tc>
        <w:tc>
          <w:tcPr>
            <w:cnfStyle w:val="000010000000" w:firstRow="0" w:lastRow="0" w:firstColumn="0" w:lastColumn="0" w:oddVBand="1" w:evenVBand="0" w:oddHBand="0" w:evenHBand="0" w:firstRowFirstColumn="0" w:firstRowLastColumn="0" w:lastRowFirstColumn="0" w:lastRowLastColumn="0"/>
            <w:tcW w:w="627" w:type="pct"/>
          </w:tcPr>
          <w:p w14:paraId="1DEC9C11"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37E7AF62" w14:textId="77777777" w:rsidTr="00775ABB">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5000" w:type="pct"/>
            <w:gridSpan w:val="5"/>
          </w:tcPr>
          <w:p w14:paraId="48211321" w14:textId="77777777" w:rsidR="000A5CFA" w:rsidRPr="009E01A1" w:rsidRDefault="000A5CFA">
            <w:pPr>
              <w:pStyle w:val="body"/>
              <w:rPr>
                <w:rFonts w:ascii="Arial" w:hAnsi="Arial" w:cs="Arial"/>
                <w:b/>
                <w:color w:val="auto"/>
              </w:rPr>
            </w:pPr>
            <w:r w:rsidRPr="009E01A1">
              <w:rPr>
                <w:rStyle w:val="bold"/>
                <w:rFonts w:ascii="Arial" w:hAnsi="Arial" w:cs="Arial"/>
                <w:b/>
                <w:color w:val="auto"/>
              </w:rPr>
              <w:t>Not Extending the Energy Efficiency Opportunities Program to Energy Networks</w:t>
            </w:r>
          </w:p>
        </w:tc>
      </w:tr>
      <w:tr w:rsidR="000A5CFA" w:rsidRPr="00490DCE" w14:paraId="1D2937D9"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E4006A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94B725C"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The decision means that energy networks will not be required to undertake energy savings audits.</w:t>
            </w:r>
          </w:p>
        </w:tc>
        <w:tc>
          <w:tcPr>
            <w:cnfStyle w:val="000010000000" w:firstRow="0" w:lastRow="0" w:firstColumn="0" w:lastColumn="0" w:oddVBand="1" w:evenVBand="0" w:oddHBand="0" w:evenHBand="0" w:firstRowFirstColumn="0" w:firstRowLastColumn="0" w:lastRowFirstColumn="0" w:lastRowLastColumn="0"/>
            <w:tcW w:w="627" w:type="pct"/>
          </w:tcPr>
          <w:p w14:paraId="2E6EF06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109E6C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3E82D9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r w:rsidRPr="00490DCE">
              <w:rPr>
                <w:rStyle w:val="super"/>
                <w:rFonts w:cs="Arial"/>
                <w:color w:val="auto"/>
              </w:rPr>
              <w:t>c</w:t>
            </w:r>
          </w:p>
        </w:tc>
      </w:tr>
    </w:tbl>
    <w:p w14:paraId="51503255" w14:textId="77777777" w:rsidR="000A5CFA" w:rsidRPr="00490DCE" w:rsidRDefault="000A5CFA">
      <w:pPr>
        <w:pStyle w:val="body"/>
        <w:rPr>
          <w:rFonts w:ascii="Arial" w:hAnsi="Arial" w:cs="Arial"/>
          <w:color w:val="auto"/>
          <w:sz w:val="16"/>
          <w:szCs w:val="16"/>
          <w:lang w:val="en-AU"/>
        </w:rPr>
      </w:pPr>
    </w:p>
    <w:p w14:paraId="0CA7D10E" w14:textId="77777777" w:rsidR="000A5CFA" w:rsidRPr="00490DCE" w:rsidRDefault="000A5CFA">
      <w:pPr>
        <w:pStyle w:val="note"/>
        <w:spacing w:after="0"/>
        <w:rPr>
          <w:rFonts w:cs="Arial"/>
          <w:color w:val="auto"/>
        </w:rPr>
      </w:pPr>
      <w:proofErr w:type="spellStart"/>
      <w:r w:rsidRPr="00490DCE">
        <w:rPr>
          <w:rStyle w:val="super"/>
          <w:rFonts w:cs="Arial"/>
          <w:color w:val="auto"/>
        </w:rPr>
        <w:t>a</w:t>
      </w:r>
      <w:proofErr w:type="spellEnd"/>
      <w:r w:rsidRPr="00490DCE">
        <w:rPr>
          <w:rFonts w:cs="Arial"/>
          <w:color w:val="auto"/>
        </w:rPr>
        <w:t xml:space="preserve"> On 26 March 2013, the Department of Climate Change and Energy Efficiency was abolished, with climate change functions transferred to the new Department of Industry, Innovation, Climate Change, Science, Research and Tertiary Education and energy efficiency functions transferred to the Department of Resources, Energy and Tourism.</w:t>
      </w:r>
    </w:p>
    <w:p w14:paraId="1D0BC853" w14:textId="77777777" w:rsidR="000A5CFA" w:rsidRPr="00490DCE" w:rsidRDefault="000A5CFA">
      <w:pPr>
        <w:pStyle w:val="note"/>
        <w:spacing w:after="0"/>
        <w:rPr>
          <w:rFonts w:cs="Arial"/>
          <w:color w:val="auto"/>
        </w:rPr>
      </w:pPr>
      <w:proofErr w:type="gramStart"/>
      <w:r w:rsidRPr="00490DCE">
        <w:rPr>
          <w:rStyle w:val="super"/>
          <w:rFonts w:cs="Arial"/>
          <w:color w:val="auto"/>
        </w:rPr>
        <w:t>b</w:t>
      </w:r>
      <w:proofErr w:type="gramEnd"/>
      <w:r w:rsidRPr="00490DCE">
        <w:rPr>
          <w:rFonts w:cs="Arial"/>
          <w:color w:val="auto"/>
        </w:rPr>
        <w:t xml:space="preserve"> The decision and announcement to extend the Energy Efficiency Opportunities (EEO) program to major new developments and expansion projects were undertaken without an adequate RIS. The decision was reported as non-compliant in 2011–12. As a result the non-compliance is not included in the 2012–13 summary of compliance. An implementation RIS was prepared for the subsequent decision (announced by the Minister for Resources and Energy on 19 June 2013) on the detailed final package of how the proposal to extend the EEO program to major new developments and expansion projects would be implemented. The implementation RIS was assessed as adequate by the OBPR and published on the OBPR’s website.</w:t>
      </w:r>
    </w:p>
    <w:p w14:paraId="6810E181" w14:textId="77777777" w:rsidR="000A5CFA" w:rsidRPr="00490DCE" w:rsidRDefault="000A5CFA">
      <w:pPr>
        <w:pStyle w:val="note"/>
        <w:rPr>
          <w:rFonts w:cs="Arial"/>
          <w:color w:val="auto"/>
        </w:rPr>
      </w:pPr>
      <w:proofErr w:type="gramStart"/>
      <w:r w:rsidRPr="00490DCE">
        <w:rPr>
          <w:rStyle w:val="super"/>
          <w:rFonts w:cs="Arial"/>
          <w:color w:val="auto"/>
        </w:rPr>
        <w:t>c</w:t>
      </w:r>
      <w:proofErr w:type="gramEnd"/>
      <w:r w:rsidRPr="00490DCE">
        <w:rPr>
          <w:rFonts w:cs="Arial"/>
          <w:color w:val="auto"/>
        </w:rPr>
        <w:t xml:space="preserve"> A RIS was required for the decision (announced by the Prime Minister on 10 July 2011) to extend the EEO program to energy networks and major new developments and expansion projects. As a RIS was not prepared, the OBPR advised that a PIR was required. However, the subsequent decision (with a RIS) announced by the Minister for Resources and Energy on 19 June 2013 (the RIS was subsequently posted on the OBPR website on 11 July 2013) that the EEO program would not be extended to energy networks, means that a PIR is not required on this measure.</w:t>
      </w:r>
    </w:p>
    <w:p w14:paraId="6AA80B65" w14:textId="77777777" w:rsidR="000A5CFA" w:rsidRPr="00490DCE" w:rsidRDefault="00775ABB">
      <w:pPr>
        <w:pStyle w:val="tabletitle"/>
        <w:rPr>
          <w:rFonts w:cs="Arial"/>
        </w:rPr>
      </w:pPr>
      <w:r w:rsidRPr="00490DCE">
        <w:rPr>
          <w:rFonts w:cs="Arial"/>
        </w:rPr>
        <w:br w:type="page"/>
      </w:r>
      <w:r w:rsidR="000A5CFA" w:rsidRPr="00490DCE">
        <w:rPr>
          <w:rFonts w:cs="Arial"/>
        </w:rPr>
        <w:lastRenderedPageBreak/>
        <w:t>3.1.15 Sustainability, Environment, Water, Population and Communities</w:t>
      </w:r>
    </w:p>
    <w:tbl>
      <w:tblPr>
        <w:tblStyle w:val="LightList"/>
        <w:tblW w:w="5000" w:type="pct"/>
        <w:tblLook w:val="0020" w:firstRow="1" w:lastRow="0" w:firstColumn="0" w:lastColumn="0" w:noHBand="0" w:noVBand="0"/>
        <w:tblDescription w:val="2012-13 RIS compliance - Department of Sustainability, Environment, Water, Population and Communities"/>
      </w:tblPr>
      <w:tblGrid>
        <w:gridCol w:w="699"/>
        <w:gridCol w:w="5448"/>
        <w:gridCol w:w="1235"/>
        <w:gridCol w:w="1233"/>
        <w:gridCol w:w="1233"/>
      </w:tblGrid>
      <w:tr w:rsidR="000A5CFA" w:rsidRPr="00490DCE" w14:paraId="440DFBE3"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25578F4"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1FA28AB"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678505BC"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7539E811"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4988CE29"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2059C9A5"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6" w:type="pct"/>
          </w:tcPr>
          <w:p w14:paraId="2F99951C"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6EC61D91"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64F6E543" w14:textId="77777777" w:rsidR="000A5CFA" w:rsidRPr="009E01A1" w:rsidRDefault="000A5CFA">
            <w:pPr>
              <w:pStyle w:val="body"/>
              <w:rPr>
                <w:rFonts w:ascii="Arial" w:hAnsi="Arial" w:cs="Arial"/>
                <w:b/>
                <w:color w:val="auto"/>
              </w:rPr>
            </w:pPr>
            <w:r w:rsidRPr="009E01A1">
              <w:rPr>
                <w:rStyle w:val="bold"/>
                <w:rFonts w:ascii="Arial" w:hAnsi="Arial" w:cs="Arial"/>
                <w:b/>
                <w:color w:val="auto"/>
              </w:rPr>
              <w:t>Fuel Standard: Ethanol (E85) Automotive Fuel</w:t>
            </w:r>
          </w:p>
        </w:tc>
      </w:tr>
      <w:tr w:rsidR="000A5CFA" w:rsidRPr="00490DCE" w14:paraId="5A290D8E" w14:textId="77777777" w:rsidTr="009E01A1">
        <w:trPr>
          <w:trHeight w:val="312"/>
        </w:trPr>
        <w:tc>
          <w:tcPr>
            <w:cnfStyle w:val="000010000000" w:firstRow="0" w:lastRow="0" w:firstColumn="0" w:lastColumn="0" w:oddVBand="1" w:evenVBand="0" w:oddHBand="0" w:evenHBand="0" w:firstRowFirstColumn="0" w:firstRowLastColumn="0" w:lastRowFirstColumn="0" w:lastRowLastColumn="0"/>
            <w:tcW w:w="355" w:type="pct"/>
          </w:tcPr>
          <w:p w14:paraId="416948E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7F1E77E4"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Sets specifications for fuel parameters and testing methods to be followed.</w:t>
            </w:r>
          </w:p>
        </w:tc>
        <w:tc>
          <w:tcPr>
            <w:cnfStyle w:val="000010000000" w:firstRow="0" w:lastRow="0" w:firstColumn="0" w:lastColumn="0" w:oddVBand="1" w:evenVBand="0" w:oddHBand="0" w:evenHBand="0" w:firstRowFirstColumn="0" w:firstRowLastColumn="0" w:lastRowFirstColumn="0" w:lastRowLastColumn="0"/>
            <w:tcW w:w="627" w:type="pct"/>
          </w:tcPr>
          <w:p w14:paraId="4EEA6BF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123C288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6" w:type="pct"/>
          </w:tcPr>
          <w:p w14:paraId="28EAFE4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558A9EC2"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3F9E9C8" w14:textId="77777777" w:rsidR="000A5CFA" w:rsidRPr="009E01A1" w:rsidRDefault="000A5CFA">
            <w:pPr>
              <w:pStyle w:val="body"/>
              <w:rPr>
                <w:rFonts w:ascii="Arial" w:hAnsi="Arial" w:cs="Arial"/>
                <w:b/>
                <w:color w:val="auto"/>
              </w:rPr>
            </w:pPr>
            <w:r w:rsidRPr="009E01A1">
              <w:rPr>
                <w:rStyle w:val="bold"/>
                <w:rFonts w:ascii="Arial" w:hAnsi="Arial" w:cs="Arial"/>
                <w:b/>
                <w:color w:val="auto"/>
              </w:rPr>
              <w:t>New Fishing Activities of Size and Scale Unprecedented in Commonwealth Marine Areas</w:t>
            </w:r>
          </w:p>
        </w:tc>
      </w:tr>
      <w:tr w:rsidR="000A5CFA" w:rsidRPr="00490DCE" w14:paraId="074A777E" w14:textId="77777777" w:rsidTr="009E01A1">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1F9511E"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4A9C12B"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Extension of legislative powers available under the Environment Protection and Biodiversity Conservation Act 1999.</w:t>
            </w:r>
          </w:p>
        </w:tc>
        <w:tc>
          <w:tcPr>
            <w:cnfStyle w:val="000010000000" w:firstRow="0" w:lastRow="0" w:firstColumn="0" w:lastColumn="0" w:oddVBand="1" w:evenVBand="0" w:oddHBand="0" w:evenHBand="0" w:firstRowFirstColumn="0" w:firstRowLastColumn="0" w:lastRowFirstColumn="0" w:lastRowLastColumn="0"/>
            <w:tcW w:w="627" w:type="pct"/>
          </w:tcPr>
          <w:p w14:paraId="4F645D38"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58591BF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E/c</w:t>
            </w:r>
          </w:p>
        </w:tc>
        <w:tc>
          <w:tcPr>
            <w:cnfStyle w:val="000010000000" w:firstRow="0" w:lastRow="0" w:firstColumn="0" w:lastColumn="0" w:oddVBand="1" w:evenVBand="0" w:oddHBand="0" w:evenHBand="0" w:firstRowFirstColumn="0" w:firstRowLastColumn="0" w:lastRowFirstColumn="0" w:lastRowLastColumn="0"/>
            <w:tcW w:w="626" w:type="pct"/>
          </w:tcPr>
          <w:p w14:paraId="6D91A3EC"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r w:rsidR="000A5CFA" w:rsidRPr="00490DCE" w14:paraId="2455DE06"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ED6DFD5" w14:textId="77777777" w:rsidR="000A5CFA" w:rsidRPr="009E01A1" w:rsidRDefault="000A5CFA">
            <w:pPr>
              <w:pStyle w:val="body"/>
              <w:rPr>
                <w:rFonts w:ascii="Arial" w:hAnsi="Arial" w:cs="Arial"/>
                <w:b/>
                <w:color w:val="auto"/>
              </w:rPr>
            </w:pPr>
            <w:r w:rsidRPr="009E01A1">
              <w:rPr>
                <w:rStyle w:val="bold"/>
                <w:rFonts w:ascii="Arial" w:hAnsi="Arial" w:cs="Arial"/>
                <w:b/>
                <w:color w:val="auto"/>
              </w:rPr>
              <w:t xml:space="preserve">Greater Protection for Water Resources </w:t>
            </w:r>
          </w:p>
        </w:tc>
      </w:tr>
      <w:tr w:rsidR="000A5CFA" w:rsidRPr="00490DCE" w14:paraId="78954266" w14:textId="77777777" w:rsidTr="009E01A1">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D33586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5D27708"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 xml:space="preserve">Amending national environmental law to require federal assessment and approval of coal seam gas and large coal mining developments that have a significant impact on a water resource. </w:t>
            </w:r>
          </w:p>
        </w:tc>
        <w:tc>
          <w:tcPr>
            <w:cnfStyle w:val="000010000000" w:firstRow="0" w:lastRow="0" w:firstColumn="0" w:lastColumn="0" w:oddVBand="1" w:evenVBand="0" w:oddHBand="0" w:evenHBand="0" w:firstRowFirstColumn="0" w:firstRowLastColumn="0" w:lastRowFirstColumn="0" w:lastRowLastColumn="0"/>
            <w:tcW w:w="627" w:type="pct"/>
          </w:tcPr>
          <w:p w14:paraId="762D0FB2"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626" w:type="pct"/>
          </w:tcPr>
          <w:p w14:paraId="39C01CC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E/c </w:t>
            </w:r>
          </w:p>
        </w:tc>
        <w:tc>
          <w:tcPr>
            <w:cnfStyle w:val="000010000000" w:firstRow="0" w:lastRow="0" w:firstColumn="0" w:lastColumn="0" w:oddVBand="1" w:evenVBand="0" w:oddHBand="0" w:evenHBand="0" w:firstRowFirstColumn="0" w:firstRowLastColumn="0" w:lastRowFirstColumn="0" w:lastRowLastColumn="0"/>
            <w:tcW w:w="626" w:type="pct"/>
          </w:tcPr>
          <w:p w14:paraId="1A1D7EC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r>
    </w:tbl>
    <w:p w14:paraId="11214668" w14:textId="77777777" w:rsidR="000A5CFA" w:rsidRPr="00490DCE" w:rsidRDefault="000A5CFA">
      <w:pPr>
        <w:pStyle w:val="body"/>
        <w:rPr>
          <w:rFonts w:ascii="Arial" w:hAnsi="Arial" w:cs="Arial"/>
          <w:color w:val="auto"/>
          <w:sz w:val="16"/>
          <w:szCs w:val="16"/>
          <w:lang w:val="en-AU"/>
        </w:rPr>
      </w:pPr>
    </w:p>
    <w:p w14:paraId="4496C74B" w14:textId="77777777" w:rsidR="000A5CFA" w:rsidRPr="00490DCE" w:rsidRDefault="000A5CFA" w:rsidP="00775ABB">
      <w:pPr>
        <w:rPr>
          <w:rFonts w:cs="Arial"/>
        </w:rPr>
      </w:pPr>
      <w:r w:rsidRPr="00490DCE">
        <w:rPr>
          <w:rFonts w:cs="Arial"/>
        </w:rPr>
        <w:t>E/c Exceptional circumstances were granted by the Prime Minister</w:t>
      </w:r>
    </w:p>
    <w:p w14:paraId="676854F8" w14:textId="77777777" w:rsidR="000A5CFA" w:rsidRPr="00490DCE" w:rsidRDefault="000A5CFA">
      <w:pPr>
        <w:pStyle w:val="tabletitle"/>
        <w:rPr>
          <w:rFonts w:cs="Arial"/>
        </w:rPr>
      </w:pPr>
      <w:r w:rsidRPr="00490DCE">
        <w:rPr>
          <w:rFonts w:cs="Arial"/>
        </w:rPr>
        <w:t>3.1.16 Murray-Darling Basin Authority</w:t>
      </w:r>
    </w:p>
    <w:tbl>
      <w:tblPr>
        <w:tblStyle w:val="LightList"/>
        <w:tblW w:w="5000" w:type="pct"/>
        <w:tblLook w:val="0020" w:firstRow="1" w:lastRow="0" w:firstColumn="0" w:lastColumn="0" w:noHBand="0" w:noVBand="0"/>
        <w:tblDescription w:val="2012-13 RIS compliance - Murray-Darling Basin Authority"/>
      </w:tblPr>
      <w:tblGrid>
        <w:gridCol w:w="699"/>
        <w:gridCol w:w="5448"/>
        <w:gridCol w:w="1235"/>
        <w:gridCol w:w="1233"/>
        <w:gridCol w:w="1233"/>
      </w:tblGrid>
      <w:tr w:rsidR="000A5CFA" w:rsidRPr="00490DCE" w14:paraId="517B6B48"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890AE4C"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597EDB8"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06CF828D"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61D00315"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04132EC0"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6EF5215D"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4D0DCDAB"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74CAF9AC"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0876217" w14:textId="77777777" w:rsidR="000A5CFA" w:rsidRPr="009E01A1" w:rsidRDefault="000A5CFA">
            <w:pPr>
              <w:pStyle w:val="body"/>
              <w:rPr>
                <w:rFonts w:ascii="Arial" w:hAnsi="Arial" w:cs="Arial"/>
                <w:b/>
                <w:color w:val="auto"/>
              </w:rPr>
            </w:pPr>
            <w:r w:rsidRPr="009E01A1">
              <w:rPr>
                <w:rStyle w:val="bold"/>
                <w:rFonts w:ascii="Arial" w:hAnsi="Arial" w:cs="Arial"/>
                <w:b/>
                <w:color w:val="auto"/>
              </w:rPr>
              <w:t>Murray-Darling Basin Plan</w:t>
            </w:r>
          </w:p>
        </w:tc>
      </w:tr>
      <w:tr w:rsidR="000A5CFA" w:rsidRPr="00490DCE" w14:paraId="6CFAFA06" w14:textId="77777777" w:rsidTr="00775ABB">
        <w:trPr>
          <w:trHeight w:val="312"/>
        </w:trPr>
        <w:tc>
          <w:tcPr>
            <w:cnfStyle w:val="000010000000" w:firstRow="0" w:lastRow="0" w:firstColumn="0" w:lastColumn="0" w:oddVBand="1" w:evenVBand="0" w:oddHBand="0" w:evenHBand="0" w:firstRowFirstColumn="0" w:firstRowLastColumn="0" w:lastRowFirstColumn="0" w:lastRowLastColumn="0"/>
            <w:tcW w:w="355" w:type="pct"/>
          </w:tcPr>
          <w:p w14:paraId="29D93C3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DE7BFDB"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Sets out new water-sharing and management arrangements, including the establishment of sustainable diversion limits on surface water.</w:t>
            </w:r>
          </w:p>
        </w:tc>
        <w:tc>
          <w:tcPr>
            <w:cnfStyle w:val="000010000000" w:firstRow="0" w:lastRow="0" w:firstColumn="0" w:lastColumn="0" w:oddVBand="1" w:evenVBand="0" w:oddHBand="0" w:evenHBand="0" w:firstRowFirstColumn="0" w:firstRowLastColumn="0" w:lastRowFirstColumn="0" w:lastRowLastColumn="0"/>
            <w:tcW w:w="627" w:type="pct"/>
          </w:tcPr>
          <w:p w14:paraId="0EB7FF0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43BFEB3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4B05D60"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7356A353" w14:textId="77777777" w:rsidR="000A5CFA" w:rsidRPr="00490DCE" w:rsidRDefault="000A5CFA">
      <w:pPr>
        <w:pStyle w:val="body"/>
        <w:rPr>
          <w:rFonts w:ascii="Arial" w:hAnsi="Arial" w:cs="Arial"/>
          <w:color w:val="auto"/>
          <w:sz w:val="22"/>
          <w:szCs w:val="22"/>
          <w:lang w:val="en-AU"/>
        </w:rPr>
      </w:pPr>
    </w:p>
    <w:p w14:paraId="5DC49DC3" w14:textId="77777777" w:rsidR="000A5CFA" w:rsidRPr="00490DCE" w:rsidRDefault="000A5CFA">
      <w:pPr>
        <w:pStyle w:val="tabletitle"/>
        <w:rPr>
          <w:rFonts w:cs="Arial"/>
        </w:rPr>
      </w:pPr>
      <w:r w:rsidRPr="00490DCE">
        <w:rPr>
          <w:rFonts w:cs="Arial"/>
        </w:rPr>
        <w:t>3.1.17 Private Health Insurance Administration Council</w:t>
      </w:r>
    </w:p>
    <w:tbl>
      <w:tblPr>
        <w:tblStyle w:val="LightList"/>
        <w:tblW w:w="5000" w:type="pct"/>
        <w:tblLook w:val="0020" w:firstRow="1" w:lastRow="0" w:firstColumn="0" w:lastColumn="0" w:noHBand="0" w:noVBand="0"/>
        <w:tblDescription w:val="2012-13 RIS compliance - Private Health Insurance Administration Council"/>
      </w:tblPr>
      <w:tblGrid>
        <w:gridCol w:w="699"/>
        <w:gridCol w:w="5448"/>
        <w:gridCol w:w="1235"/>
        <w:gridCol w:w="1233"/>
        <w:gridCol w:w="1233"/>
      </w:tblGrid>
      <w:tr w:rsidR="000A5CFA" w:rsidRPr="00490DCE" w14:paraId="257D1031"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AE5305C"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42C9375"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9E2E850" w14:textId="77777777" w:rsidR="000A5CFA" w:rsidRPr="00490DCE" w:rsidRDefault="000A5CFA" w:rsidP="0019227F">
            <w:pPr>
              <w:pStyle w:val="NoParagraphStyle"/>
              <w:spacing w:line="240" w:lineRule="auto"/>
              <w:textAlignment w:val="auto"/>
              <w:outlineLvl w:val="3"/>
              <w:rPr>
                <w:rFonts w:ascii="Arial" w:hAnsi="Arial" w:cs="Arial"/>
                <w:color w:val="auto"/>
                <w:lang w:val="en-US"/>
              </w:rPr>
            </w:pPr>
          </w:p>
        </w:tc>
        <w:tc>
          <w:tcPr>
            <w:tcW w:w="2766" w:type="pct"/>
          </w:tcPr>
          <w:p w14:paraId="20F72DF7"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45AB1B98"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RIS adequate</w:t>
            </w:r>
          </w:p>
        </w:tc>
        <w:tc>
          <w:tcPr>
            <w:tcW w:w="626" w:type="pct"/>
          </w:tcPr>
          <w:p w14:paraId="504E7F44"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6E7546DE" w14:textId="77777777" w:rsidR="000A5CFA" w:rsidRPr="0033158E" w:rsidRDefault="000A5CFA" w:rsidP="0019227F">
            <w:pPr>
              <w:pStyle w:val="tablehead"/>
              <w:jc w:val="center"/>
              <w:outlineLvl w:val="3"/>
              <w:rPr>
                <w:rFonts w:ascii="Arial" w:hAnsi="Arial" w:cs="Arial"/>
                <w:b w:val="0"/>
                <w:color w:val="auto"/>
              </w:rPr>
            </w:pPr>
            <w:r w:rsidRPr="0033158E">
              <w:rPr>
                <w:rStyle w:val="bold"/>
                <w:rFonts w:ascii="Arial" w:hAnsi="Arial" w:cs="Arial"/>
                <w:b w:val="0"/>
                <w:color w:val="auto"/>
              </w:rPr>
              <w:t>PIR required</w:t>
            </w:r>
          </w:p>
        </w:tc>
      </w:tr>
      <w:tr w:rsidR="000A5CFA" w:rsidRPr="00490DCE" w14:paraId="725E9BD9"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5D21BD0E" w14:textId="77777777" w:rsidR="000A5CFA" w:rsidRPr="009E01A1" w:rsidRDefault="000A5CFA">
            <w:pPr>
              <w:pStyle w:val="body"/>
              <w:rPr>
                <w:rFonts w:ascii="Arial" w:hAnsi="Arial" w:cs="Arial"/>
                <w:b/>
                <w:color w:val="auto"/>
              </w:rPr>
            </w:pPr>
            <w:r w:rsidRPr="009E01A1">
              <w:rPr>
                <w:rStyle w:val="bold"/>
                <w:rFonts w:ascii="Arial" w:hAnsi="Arial" w:cs="Arial"/>
                <w:b/>
                <w:color w:val="auto"/>
              </w:rPr>
              <w:t>Outsourcing Standard for Private Health Insurers</w:t>
            </w:r>
          </w:p>
        </w:tc>
      </w:tr>
      <w:tr w:rsidR="000A5CFA" w:rsidRPr="00490DCE" w14:paraId="1F6DE99B"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28DC4E6"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3C78925" w14:textId="77777777" w:rsidR="000A5CFA" w:rsidRPr="009E01A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1A1">
              <w:rPr>
                <w:rStyle w:val="italic"/>
                <w:rFonts w:ascii="Arial" w:hAnsi="Arial" w:cs="Arial"/>
                <w:i/>
                <w:color w:val="auto"/>
              </w:rPr>
              <w:t>Establishes minimum best practice requirements for outsourcing arrangements for registered private health insurers.</w:t>
            </w:r>
          </w:p>
        </w:tc>
        <w:tc>
          <w:tcPr>
            <w:cnfStyle w:val="000010000000" w:firstRow="0" w:lastRow="0" w:firstColumn="0" w:lastColumn="0" w:oddVBand="1" w:evenVBand="0" w:oddHBand="0" w:evenHBand="0" w:firstRowFirstColumn="0" w:firstRowLastColumn="0" w:lastRowFirstColumn="0" w:lastRowLastColumn="0"/>
            <w:tcW w:w="627" w:type="pct"/>
          </w:tcPr>
          <w:p w14:paraId="18E4FEE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41388B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C7068B7"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56A7B0D4" w14:textId="77777777" w:rsidR="000A5CFA" w:rsidRPr="00490DCE" w:rsidRDefault="000A5CFA">
      <w:pPr>
        <w:pStyle w:val="body"/>
        <w:rPr>
          <w:rFonts w:ascii="Arial" w:hAnsi="Arial" w:cs="Arial"/>
          <w:color w:val="auto"/>
        </w:rPr>
      </w:pPr>
    </w:p>
    <w:p w14:paraId="7A37A6D4" w14:textId="77777777" w:rsidR="000A5CFA" w:rsidRPr="00490DCE" w:rsidRDefault="00775ABB">
      <w:pPr>
        <w:pStyle w:val="tabletitle"/>
        <w:rPr>
          <w:rFonts w:cs="Arial"/>
        </w:rPr>
      </w:pPr>
      <w:r w:rsidRPr="00490DCE">
        <w:rPr>
          <w:rFonts w:cs="Arial"/>
        </w:rPr>
        <w:br w:type="page"/>
      </w:r>
      <w:r w:rsidR="000A5CFA" w:rsidRPr="00490DCE">
        <w:rPr>
          <w:rFonts w:cs="Arial"/>
        </w:rPr>
        <w:lastRenderedPageBreak/>
        <w:t>3.1.18 Reserve Bank of Australia</w:t>
      </w:r>
    </w:p>
    <w:tbl>
      <w:tblPr>
        <w:tblStyle w:val="LightList"/>
        <w:tblW w:w="5000" w:type="pct"/>
        <w:tblLook w:val="0020" w:firstRow="1" w:lastRow="0" w:firstColumn="0" w:lastColumn="0" w:noHBand="0" w:noVBand="0"/>
        <w:tblDescription w:val="2012-13 RIS compliance - Reserve Bank of Australia"/>
      </w:tblPr>
      <w:tblGrid>
        <w:gridCol w:w="699"/>
        <w:gridCol w:w="5448"/>
        <w:gridCol w:w="1235"/>
        <w:gridCol w:w="1233"/>
        <w:gridCol w:w="1233"/>
      </w:tblGrid>
      <w:tr w:rsidR="000A5CFA" w:rsidRPr="00490DCE" w14:paraId="0454C2FD"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4080FD9"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44F023C5"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42C91E81"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38A4165A"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09FA4C39"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624ACBCB"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6A792793"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49F7D139"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B990F96" w14:textId="77777777" w:rsidR="000A5CFA" w:rsidRPr="0026028D" w:rsidRDefault="000A5CFA">
            <w:pPr>
              <w:pStyle w:val="body"/>
              <w:rPr>
                <w:rFonts w:ascii="Arial" w:hAnsi="Arial" w:cs="Arial"/>
                <w:b/>
                <w:color w:val="auto"/>
              </w:rPr>
            </w:pPr>
            <w:r w:rsidRPr="0026028D">
              <w:rPr>
                <w:rStyle w:val="bold"/>
                <w:rFonts w:ascii="Arial" w:hAnsi="Arial" w:cs="Arial"/>
                <w:b/>
                <w:color w:val="auto"/>
              </w:rPr>
              <w:t>Regulatory Framework for the EFTPOS System: Final Reforms</w:t>
            </w:r>
          </w:p>
        </w:tc>
      </w:tr>
      <w:tr w:rsidR="000A5CFA" w:rsidRPr="00490DCE" w14:paraId="78D6A3EE"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322487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543692F"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Reviews access and fee arrangements for the EFTPOS debit card system.</w:t>
            </w:r>
          </w:p>
        </w:tc>
        <w:tc>
          <w:tcPr>
            <w:cnfStyle w:val="000010000000" w:firstRow="0" w:lastRow="0" w:firstColumn="0" w:lastColumn="0" w:oddVBand="1" w:evenVBand="0" w:oddHBand="0" w:evenHBand="0" w:firstRowFirstColumn="0" w:firstRowLastColumn="0" w:lastRowFirstColumn="0" w:lastRowLastColumn="0"/>
            <w:tcW w:w="627" w:type="pct"/>
          </w:tcPr>
          <w:p w14:paraId="5626E306"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2CE04AC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3A26A59"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A825632" w14:textId="77777777" w:rsidTr="00775ABB">
        <w:trPr>
          <w:cnfStyle w:val="000000100000" w:firstRow="0" w:lastRow="0" w:firstColumn="0" w:lastColumn="0" w:oddVBand="0" w:evenVBand="0" w:oddHBand="1" w:evenHBand="0" w:firstRowFirstColumn="0" w:firstRowLastColumn="0" w:lastRowFirstColumn="0" w:lastRowLastColumn="0"/>
          <w:trHeight w:val="228"/>
        </w:trPr>
        <w:tc>
          <w:tcPr>
            <w:cnfStyle w:val="000010000000" w:firstRow="0" w:lastRow="0" w:firstColumn="0" w:lastColumn="0" w:oddVBand="1" w:evenVBand="0" w:oddHBand="0" w:evenHBand="0" w:firstRowFirstColumn="0" w:firstRowLastColumn="0" w:lastRowFirstColumn="0" w:lastRowLastColumn="0"/>
            <w:tcW w:w="5000" w:type="pct"/>
            <w:gridSpan w:val="5"/>
          </w:tcPr>
          <w:p w14:paraId="5D5BEC3A" w14:textId="77777777" w:rsidR="000A5CFA" w:rsidRPr="0026028D" w:rsidRDefault="000A5CFA">
            <w:pPr>
              <w:pStyle w:val="body"/>
              <w:rPr>
                <w:rFonts w:ascii="Arial" w:hAnsi="Arial" w:cs="Arial"/>
                <w:b/>
                <w:color w:val="auto"/>
              </w:rPr>
            </w:pPr>
            <w:r w:rsidRPr="0026028D">
              <w:rPr>
                <w:rStyle w:val="bold"/>
                <w:rFonts w:ascii="Arial" w:hAnsi="Arial" w:cs="Arial"/>
                <w:b/>
                <w:color w:val="auto"/>
              </w:rPr>
              <w:t>New Financial Stability Standards: Final Standards</w:t>
            </w:r>
          </w:p>
        </w:tc>
      </w:tr>
      <w:tr w:rsidR="000A5CFA" w:rsidRPr="00490DCE" w14:paraId="43C24461" w14:textId="77777777" w:rsidTr="00775ABB">
        <w:trPr>
          <w:trHeight w:val="343"/>
        </w:trPr>
        <w:tc>
          <w:tcPr>
            <w:cnfStyle w:val="000010000000" w:firstRow="0" w:lastRow="0" w:firstColumn="0" w:lastColumn="0" w:oddVBand="1" w:evenVBand="0" w:oddHBand="0" w:evenHBand="0" w:firstRowFirstColumn="0" w:firstRowLastColumn="0" w:lastRowFirstColumn="0" w:lastRowLastColumn="0"/>
            <w:tcW w:w="355" w:type="pct"/>
          </w:tcPr>
          <w:p w14:paraId="65318FEF"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96BA083"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spacing w:val="-4"/>
              </w:rPr>
              <w:t>Establishes new financial stability standards for central counterparties and securities settlement facilities.</w:t>
            </w:r>
          </w:p>
        </w:tc>
        <w:tc>
          <w:tcPr>
            <w:cnfStyle w:val="000010000000" w:firstRow="0" w:lastRow="0" w:firstColumn="0" w:lastColumn="0" w:oddVBand="1" w:evenVBand="0" w:oddHBand="0" w:evenHBand="0" w:firstRowFirstColumn="0" w:firstRowLastColumn="0" w:lastRowFirstColumn="0" w:lastRowLastColumn="0"/>
            <w:tcW w:w="627" w:type="pct"/>
          </w:tcPr>
          <w:p w14:paraId="70F98F8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103913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70E607B3"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0EC61BE0" w14:textId="77777777" w:rsidR="000A5CFA" w:rsidRPr="00490DCE" w:rsidRDefault="000A5CFA">
      <w:pPr>
        <w:pStyle w:val="body"/>
        <w:rPr>
          <w:rFonts w:ascii="Arial" w:hAnsi="Arial" w:cs="Arial"/>
          <w:color w:val="auto"/>
          <w:sz w:val="22"/>
          <w:szCs w:val="22"/>
          <w:lang w:val="en-AU"/>
        </w:rPr>
      </w:pPr>
    </w:p>
    <w:p w14:paraId="612823A9" w14:textId="77777777" w:rsidR="000A5CFA" w:rsidRPr="00490DCE" w:rsidRDefault="000A5CFA">
      <w:pPr>
        <w:pStyle w:val="tabletitle"/>
        <w:rPr>
          <w:rFonts w:cs="Arial"/>
        </w:rPr>
      </w:pPr>
      <w:r w:rsidRPr="00490DCE">
        <w:rPr>
          <w:rFonts w:cs="Arial"/>
        </w:rPr>
        <w:t>3.1.19 Treasury</w:t>
      </w:r>
    </w:p>
    <w:tbl>
      <w:tblPr>
        <w:tblStyle w:val="LightList"/>
        <w:tblW w:w="5000" w:type="pct"/>
        <w:tblLook w:val="0020" w:firstRow="1" w:lastRow="0" w:firstColumn="0" w:lastColumn="0" w:noHBand="0" w:noVBand="0"/>
        <w:tblDescription w:val="2012-13 RIS compliance - Department of the Treasury"/>
      </w:tblPr>
      <w:tblGrid>
        <w:gridCol w:w="699"/>
        <w:gridCol w:w="5448"/>
        <w:gridCol w:w="1235"/>
        <w:gridCol w:w="1233"/>
        <w:gridCol w:w="1233"/>
      </w:tblGrid>
      <w:tr w:rsidR="000A5CFA" w:rsidRPr="00490DCE" w14:paraId="2AA35BF8"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BECE894"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A5A97DE" w14:textId="77777777" w:rsidTr="007425EA">
        <w:trPr>
          <w:cnfStyle w:val="100000000000" w:firstRow="1" w:lastRow="0" w:firstColumn="0" w:lastColumn="0" w:oddVBand="0" w:evenVBand="0" w:oddHBand="0" w:evenHBand="0" w:firstRowFirstColumn="0" w:firstRowLastColumn="0" w:lastRowFirstColumn="0" w:lastRowLastColumn="0"/>
          <w:trHeight w:val="475"/>
          <w:tblHeader/>
        </w:trPr>
        <w:tc>
          <w:tcPr>
            <w:cnfStyle w:val="000010000000" w:firstRow="0" w:lastRow="0" w:firstColumn="0" w:lastColumn="0" w:oddVBand="1" w:evenVBand="0" w:oddHBand="0" w:evenHBand="0" w:firstRowFirstColumn="0" w:firstRowLastColumn="0" w:lastRowFirstColumn="0" w:lastRowLastColumn="0"/>
            <w:tcW w:w="355" w:type="pct"/>
          </w:tcPr>
          <w:p w14:paraId="580C09A4" w14:textId="77777777" w:rsidR="000A5CFA" w:rsidRPr="0033158E" w:rsidRDefault="000A5CFA" w:rsidP="0019227F">
            <w:pPr>
              <w:pStyle w:val="NoParagraphStyle"/>
              <w:spacing w:line="240" w:lineRule="auto"/>
              <w:textAlignment w:val="auto"/>
              <w:outlineLvl w:val="3"/>
              <w:rPr>
                <w:rFonts w:ascii="Arial" w:hAnsi="Arial" w:cs="Arial"/>
                <w:b w:val="0"/>
                <w:color w:val="auto"/>
                <w:lang w:val="en-US"/>
              </w:rPr>
            </w:pPr>
          </w:p>
        </w:tc>
        <w:tc>
          <w:tcPr>
            <w:tcW w:w="2766" w:type="pct"/>
          </w:tcPr>
          <w:p w14:paraId="60DABC88" w14:textId="77777777" w:rsidR="000A5CFA" w:rsidRPr="0033158E" w:rsidRDefault="000A5CFA" w:rsidP="0019227F">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27" w:type="pct"/>
          </w:tcPr>
          <w:p w14:paraId="427F9316"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RIS adequate</w:t>
            </w:r>
          </w:p>
        </w:tc>
        <w:tc>
          <w:tcPr>
            <w:tcW w:w="626" w:type="pct"/>
          </w:tcPr>
          <w:p w14:paraId="333A7920" w14:textId="77777777" w:rsidR="000A5CFA" w:rsidRPr="0033158E" w:rsidRDefault="000A5CFA" w:rsidP="0019227F">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RIS published</w:t>
            </w:r>
          </w:p>
        </w:tc>
        <w:tc>
          <w:tcPr>
            <w:cnfStyle w:val="000010000000" w:firstRow="0" w:lastRow="0" w:firstColumn="0" w:lastColumn="0" w:oddVBand="1" w:evenVBand="0" w:oddHBand="0" w:evenHBand="0" w:firstRowFirstColumn="0" w:firstRowLastColumn="0" w:lastRowFirstColumn="0" w:lastRowLastColumn="0"/>
            <w:tcW w:w="627" w:type="pct"/>
          </w:tcPr>
          <w:p w14:paraId="65459B10" w14:textId="77777777" w:rsidR="000A5CFA" w:rsidRPr="0033158E" w:rsidRDefault="000A5CFA" w:rsidP="0019227F">
            <w:pPr>
              <w:pStyle w:val="tablehead"/>
              <w:jc w:val="center"/>
              <w:outlineLvl w:val="3"/>
              <w:rPr>
                <w:rFonts w:ascii="Arial" w:hAnsi="Arial" w:cs="Arial"/>
                <w:b w:val="0"/>
                <w:color w:val="auto"/>
              </w:rPr>
            </w:pPr>
            <w:r w:rsidRPr="0033158E">
              <w:rPr>
                <w:rFonts w:ascii="Arial" w:hAnsi="Arial" w:cs="Arial"/>
                <w:b w:val="0"/>
                <w:color w:val="auto"/>
              </w:rPr>
              <w:t>PIR required</w:t>
            </w:r>
          </w:p>
        </w:tc>
      </w:tr>
      <w:tr w:rsidR="000A5CFA" w:rsidRPr="00490DCE" w14:paraId="2FADB98C"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080FE6F" w14:textId="77777777" w:rsidR="000A5CFA" w:rsidRPr="0026028D" w:rsidRDefault="000A5CFA">
            <w:pPr>
              <w:pStyle w:val="body"/>
              <w:rPr>
                <w:rFonts w:ascii="Arial" w:hAnsi="Arial" w:cs="Arial"/>
                <w:b/>
                <w:color w:val="auto"/>
              </w:rPr>
            </w:pPr>
            <w:r w:rsidRPr="0026028D">
              <w:rPr>
                <w:rStyle w:val="bold"/>
                <w:rFonts w:ascii="Arial" w:hAnsi="Arial" w:cs="Arial"/>
                <w:b/>
                <w:color w:val="auto"/>
              </w:rPr>
              <w:t>A New Regulatory Framework for Financial Planners Providing Tax Advice</w:t>
            </w:r>
          </w:p>
        </w:tc>
      </w:tr>
      <w:tr w:rsidR="000A5CFA" w:rsidRPr="00490DCE" w14:paraId="0F0CCC96"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36B405CE"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334F706D"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spacing w:val="-4"/>
              </w:rPr>
              <w:t>This measure will bring financial planners who provide tax advice under the Tax Agent Services Act 2009.</w:t>
            </w:r>
          </w:p>
        </w:tc>
        <w:tc>
          <w:tcPr>
            <w:cnfStyle w:val="000010000000" w:firstRow="0" w:lastRow="0" w:firstColumn="0" w:lastColumn="0" w:oddVBand="1" w:evenVBand="0" w:oddHBand="0" w:evenHBand="0" w:firstRowFirstColumn="0" w:firstRowLastColumn="0" w:lastRowFirstColumn="0" w:lastRowLastColumn="0"/>
            <w:tcW w:w="627" w:type="pct"/>
          </w:tcPr>
          <w:p w14:paraId="0998CF1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464DF98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386B7FA6"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B041617"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91162B1" w14:textId="77777777" w:rsidR="000A5CFA" w:rsidRPr="0026028D" w:rsidRDefault="000A5CFA">
            <w:pPr>
              <w:pStyle w:val="body"/>
              <w:rPr>
                <w:rFonts w:ascii="Arial" w:hAnsi="Arial" w:cs="Arial"/>
                <w:b/>
                <w:color w:val="auto"/>
              </w:rPr>
            </w:pPr>
            <w:r w:rsidRPr="0026028D">
              <w:rPr>
                <w:rStyle w:val="bold"/>
                <w:rFonts w:ascii="Arial" w:hAnsi="Arial" w:cs="Arial"/>
                <w:b/>
                <w:color w:val="auto"/>
              </w:rPr>
              <w:t>Insurance Key Facts Sheet</w:t>
            </w:r>
          </w:p>
        </w:tc>
      </w:tr>
      <w:tr w:rsidR="000A5CFA" w:rsidRPr="00490DCE" w14:paraId="1463AF60"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6D0388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0D14D05C" w14:textId="3A07E111"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Prescribes content, presentation and provision requirements for a one</w:t>
            </w:r>
            <w:r w:rsidR="00F43F6A">
              <w:rPr>
                <w:rStyle w:val="italic"/>
                <w:rFonts w:ascii="American Typewriter Light" w:hAnsi="American Typewriter Light" w:cs="American Typewriter Light"/>
                <w:i/>
                <w:color w:val="auto"/>
              </w:rPr>
              <w:t>-</w:t>
            </w:r>
            <w:r w:rsidRPr="0026028D">
              <w:rPr>
                <w:rStyle w:val="italic"/>
                <w:rFonts w:ascii="Arial" w:hAnsi="Arial" w:cs="Arial"/>
                <w:i/>
                <w:color w:val="auto"/>
              </w:rPr>
              <w:t>page Key Facts Sheet on home building and contents insurance.</w:t>
            </w:r>
          </w:p>
        </w:tc>
        <w:tc>
          <w:tcPr>
            <w:cnfStyle w:val="000010000000" w:firstRow="0" w:lastRow="0" w:firstColumn="0" w:lastColumn="0" w:oddVBand="1" w:evenVBand="0" w:oddHBand="0" w:evenHBand="0" w:firstRowFirstColumn="0" w:firstRowLastColumn="0" w:lastRowFirstColumn="0" w:lastRowLastColumn="0"/>
            <w:tcW w:w="627" w:type="pct"/>
          </w:tcPr>
          <w:p w14:paraId="728A19E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711CEB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4134746F"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87847A8"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F4BC2AD" w14:textId="77777777" w:rsidR="000A5CFA" w:rsidRPr="0026028D" w:rsidRDefault="000A5CFA">
            <w:pPr>
              <w:pStyle w:val="body"/>
              <w:rPr>
                <w:rFonts w:ascii="Arial" w:hAnsi="Arial" w:cs="Arial"/>
                <w:b/>
                <w:color w:val="auto"/>
              </w:rPr>
            </w:pPr>
            <w:r w:rsidRPr="0026028D">
              <w:rPr>
                <w:rStyle w:val="bold"/>
                <w:rFonts w:ascii="Arial" w:hAnsi="Arial" w:cs="Arial"/>
                <w:b/>
                <w:color w:val="auto"/>
              </w:rPr>
              <w:t>Government’s Interim Response to the Low Value Parcel Processing Taskforce Report</w:t>
            </w:r>
          </w:p>
        </w:tc>
      </w:tr>
      <w:tr w:rsidR="000A5CFA" w:rsidRPr="00490DCE" w14:paraId="661A27CC"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2961C59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26E5BEE5"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Examines ways to improve the efficiency of low value parcel processing.</w:t>
            </w:r>
          </w:p>
        </w:tc>
        <w:tc>
          <w:tcPr>
            <w:cnfStyle w:val="000010000000" w:firstRow="0" w:lastRow="0" w:firstColumn="0" w:lastColumn="0" w:oddVBand="1" w:evenVBand="0" w:oddHBand="0" w:evenHBand="0" w:firstRowFirstColumn="0" w:firstRowLastColumn="0" w:lastRowFirstColumn="0" w:lastRowLastColumn="0"/>
            <w:tcW w:w="627" w:type="pct"/>
          </w:tcPr>
          <w:p w14:paraId="56D921E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62F62BB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8F7663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F2F6E4E"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14759DB2" w14:textId="77777777" w:rsidR="000A5CFA" w:rsidRPr="0026028D" w:rsidRDefault="000A5CFA">
            <w:pPr>
              <w:pStyle w:val="body"/>
              <w:rPr>
                <w:rFonts w:ascii="Arial" w:hAnsi="Arial" w:cs="Arial"/>
                <w:b/>
                <w:color w:val="auto"/>
              </w:rPr>
            </w:pPr>
            <w:r w:rsidRPr="0026028D">
              <w:rPr>
                <w:rStyle w:val="bold"/>
                <w:rFonts w:ascii="Arial" w:hAnsi="Arial" w:cs="Arial"/>
                <w:b/>
                <w:color w:val="auto"/>
              </w:rPr>
              <w:t>Unfair Terms in Insurance Contracts</w:t>
            </w:r>
          </w:p>
        </w:tc>
      </w:tr>
      <w:tr w:rsidR="000A5CFA" w:rsidRPr="00490DCE" w14:paraId="1FCE2ECA"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59A7B2D3"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18438AC"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Provides consumers with remedies for unfair terms in insurance contracts.</w:t>
            </w:r>
          </w:p>
        </w:tc>
        <w:tc>
          <w:tcPr>
            <w:cnfStyle w:val="000010000000" w:firstRow="0" w:lastRow="0" w:firstColumn="0" w:lastColumn="0" w:oddVBand="1" w:evenVBand="0" w:oddHBand="0" w:evenHBand="0" w:firstRowFirstColumn="0" w:firstRowLastColumn="0" w:lastRowFirstColumn="0" w:lastRowLastColumn="0"/>
            <w:tcW w:w="627" w:type="pct"/>
          </w:tcPr>
          <w:p w14:paraId="187EE72B"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777177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0ECB141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6134F445"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43E5C7F6" w14:textId="77777777" w:rsidR="000A5CFA" w:rsidRPr="0026028D" w:rsidRDefault="000A5CFA">
            <w:pPr>
              <w:pStyle w:val="body"/>
              <w:rPr>
                <w:rFonts w:ascii="Arial" w:hAnsi="Arial" w:cs="Arial"/>
                <w:b/>
                <w:color w:val="auto"/>
              </w:rPr>
            </w:pPr>
            <w:r w:rsidRPr="0026028D">
              <w:rPr>
                <w:rStyle w:val="bold"/>
                <w:rFonts w:ascii="Arial" w:hAnsi="Arial" w:cs="Arial"/>
                <w:b/>
                <w:color w:val="auto"/>
              </w:rPr>
              <w:t>Addressing avoidance of the National Credit Code</w:t>
            </w:r>
          </w:p>
        </w:tc>
      </w:tr>
      <w:tr w:rsidR="000A5CFA" w:rsidRPr="00490DCE" w14:paraId="3040B2B2"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478BD4FB"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A7679D3" w14:textId="77777777" w:rsidR="000A5CFA" w:rsidRPr="0026028D" w:rsidRDefault="000A5CFA" w:rsidP="00775ABB">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Expands coverage of the National Consumer Code to include ‘credit-like’ transactions which are currently excluded.</w:t>
            </w:r>
          </w:p>
        </w:tc>
        <w:tc>
          <w:tcPr>
            <w:cnfStyle w:val="000010000000" w:firstRow="0" w:lastRow="0" w:firstColumn="0" w:lastColumn="0" w:oddVBand="1" w:evenVBand="0" w:oddHBand="0" w:evenHBand="0" w:firstRowFirstColumn="0" w:firstRowLastColumn="0" w:lastRowFirstColumn="0" w:lastRowLastColumn="0"/>
            <w:tcW w:w="627" w:type="pct"/>
          </w:tcPr>
          <w:p w14:paraId="0E2C68ED"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8C1F45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3C74F7A"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462BE95C"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3D14130F" w14:textId="77777777" w:rsidR="000A5CFA" w:rsidRPr="0026028D" w:rsidRDefault="000A5CFA">
            <w:pPr>
              <w:pStyle w:val="body"/>
              <w:rPr>
                <w:rFonts w:ascii="Arial" w:hAnsi="Arial" w:cs="Arial"/>
                <w:b/>
                <w:color w:val="auto"/>
              </w:rPr>
            </w:pPr>
            <w:r w:rsidRPr="0026028D">
              <w:rPr>
                <w:rStyle w:val="bold"/>
                <w:rFonts w:ascii="Arial" w:hAnsi="Arial" w:cs="Arial"/>
                <w:b/>
                <w:color w:val="auto"/>
              </w:rPr>
              <w:t>Credit for Investment Purposes</w:t>
            </w:r>
          </w:p>
        </w:tc>
      </w:tr>
      <w:tr w:rsidR="000A5CFA" w:rsidRPr="00490DCE" w14:paraId="45FF8035"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1DA45021"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43A2D66F"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Strengthens protections for consumers who borrow money to invest.</w:t>
            </w:r>
          </w:p>
        </w:tc>
        <w:tc>
          <w:tcPr>
            <w:cnfStyle w:val="000010000000" w:firstRow="0" w:lastRow="0" w:firstColumn="0" w:lastColumn="0" w:oddVBand="1" w:evenVBand="0" w:oddHBand="0" w:evenHBand="0" w:firstRowFirstColumn="0" w:firstRowLastColumn="0" w:lastRowFirstColumn="0" w:lastRowLastColumn="0"/>
            <w:tcW w:w="627" w:type="pct"/>
          </w:tcPr>
          <w:p w14:paraId="59092EF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505CE23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165E9825"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20A4B4D4"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75E65701" w14:textId="77777777" w:rsidR="000A5CFA" w:rsidRPr="0026028D" w:rsidRDefault="000A5CFA">
            <w:pPr>
              <w:pStyle w:val="body"/>
              <w:rPr>
                <w:rFonts w:ascii="Arial" w:hAnsi="Arial" w:cs="Arial"/>
                <w:b/>
                <w:color w:val="auto"/>
              </w:rPr>
            </w:pPr>
            <w:r w:rsidRPr="0026028D">
              <w:rPr>
                <w:rStyle w:val="bold"/>
                <w:rFonts w:ascii="Arial" w:hAnsi="Arial" w:cs="Arial"/>
                <w:b/>
                <w:color w:val="auto"/>
              </w:rPr>
              <w:t>Small Business Credit</w:t>
            </w:r>
          </w:p>
        </w:tc>
      </w:tr>
      <w:tr w:rsidR="000A5CFA" w:rsidRPr="00490DCE" w14:paraId="6223680D"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69B9FF68"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1F88232F"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Addresses predatory lending practices which exploit small business borrowers in financial distress.</w:t>
            </w:r>
          </w:p>
        </w:tc>
        <w:tc>
          <w:tcPr>
            <w:cnfStyle w:val="000010000000" w:firstRow="0" w:lastRow="0" w:firstColumn="0" w:lastColumn="0" w:oddVBand="1" w:evenVBand="0" w:oddHBand="0" w:evenHBand="0" w:firstRowFirstColumn="0" w:firstRowLastColumn="0" w:lastRowFirstColumn="0" w:lastRowLastColumn="0"/>
            <w:tcW w:w="627" w:type="pct"/>
          </w:tcPr>
          <w:p w14:paraId="44BA72D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3FD4F88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68500D84"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r w:rsidR="000A5CFA" w:rsidRPr="00490DCE" w14:paraId="70C2EBE8" w14:textId="77777777" w:rsidTr="00775ABB">
        <w:trPr>
          <w:cnfStyle w:val="000000100000" w:firstRow="0" w:lastRow="0" w:firstColumn="0" w:lastColumn="0" w:oddVBand="0" w:evenVBand="0" w:oddHBand="1" w:evenHBand="0" w:firstRowFirstColumn="0" w:firstRowLastColumn="0" w:lastRowFirstColumn="0" w:lastRowLastColumn="0"/>
          <w:trHeight w:val="316"/>
        </w:trPr>
        <w:tc>
          <w:tcPr>
            <w:cnfStyle w:val="000010000000" w:firstRow="0" w:lastRow="0" w:firstColumn="0" w:lastColumn="0" w:oddVBand="1" w:evenVBand="0" w:oddHBand="0" w:evenHBand="0" w:firstRowFirstColumn="0" w:firstRowLastColumn="0" w:lastRowFirstColumn="0" w:lastRowLastColumn="0"/>
            <w:tcW w:w="5000" w:type="pct"/>
            <w:gridSpan w:val="5"/>
          </w:tcPr>
          <w:p w14:paraId="035BB888" w14:textId="77777777" w:rsidR="000A5CFA" w:rsidRPr="0026028D" w:rsidRDefault="000A5CFA">
            <w:pPr>
              <w:pStyle w:val="body"/>
              <w:rPr>
                <w:rFonts w:ascii="Arial" w:hAnsi="Arial" w:cs="Arial"/>
                <w:b/>
                <w:color w:val="auto"/>
              </w:rPr>
            </w:pPr>
            <w:r w:rsidRPr="0026028D">
              <w:rPr>
                <w:rStyle w:val="bold"/>
                <w:rFonts w:ascii="Arial" w:hAnsi="Arial" w:cs="Arial"/>
                <w:b/>
                <w:color w:val="auto"/>
              </w:rPr>
              <w:t>G-20 Over-the-Counter Derivatives Ministerial Determination</w:t>
            </w:r>
          </w:p>
        </w:tc>
      </w:tr>
      <w:tr w:rsidR="000A5CFA" w:rsidRPr="00490DCE" w14:paraId="67662905" w14:textId="77777777" w:rsidTr="00775ABB">
        <w:trPr>
          <w:trHeight w:val="521"/>
        </w:trPr>
        <w:tc>
          <w:tcPr>
            <w:cnfStyle w:val="000010000000" w:firstRow="0" w:lastRow="0" w:firstColumn="0" w:lastColumn="0" w:oddVBand="1" w:evenVBand="0" w:oddHBand="0" w:evenHBand="0" w:firstRowFirstColumn="0" w:firstRowLastColumn="0" w:lastRowFirstColumn="0" w:lastRowLastColumn="0"/>
            <w:tcW w:w="355" w:type="pct"/>
          </w:tcPr>
          <w:p w14:paraId="00E10D75" w14:textId="77777777" w:rsidR="000A5CFA" w:rsidRPr="00490DCE" w:rsidRDefault="000A5CFA">
            <w:pPr>
              <w:pStyle w:val="NoParagraphStyle"/>
              <w:spacing w:line="240" w:lineRule="auto"/>
              <w:textAlignment w:val="auto"/>
              <w:rPr>
                <w:rFonts w:ascii="Arial" w:hAnsi="Arial" w:cs="Arial"/>
                <w:color w:val="auto"/>
                <w:lang w:val="en-US"/>
              </w:rPr>
            </w:pPr>
          </w:p>
        </w:tc>
        <w:tc>
          <w:tcPr>
            <w:tcW w:w="2766" w:type="pct"/>
          </w:tcPr>
          <w:p w14:paraId="54CE03D1" w14:textId="77777777" w:rsidR="000A5CFA" w:rsidRPr="0026028D"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26028D">
              <w:rPr>
                <w:rStyle w:val="italic"/>
                <w:rFonts w:ascii="Arial" w:hAnsi="Arial" w:cs="Arial"/>
                <w:i/>
                <w:color w:val="auto"/>
              </w:rPr>
              <w:t>Introduces reporting requirements for over-the-counter derivatives.</w:t>
            </w:r>
          </w:p>
        </w:tc>
        <w:tc>
          <w:tcPr>
            <w:cnfStyle w:val="000010000000" w:firstRow="0" w:lastRow="0" w:firstColumn="0" w:lastColumn="0" w:oddVBand="1" w:evenVBand="0" w:oddHBand="0" w:evenHBand="0" w:firstRowFirstColumn="0" w:firstRowLastColumn="0" w:lastRowFirstColumn="0" w:lastRowLastColumn="0"/>
            <w:tcW w:w="627" w:type="pct"/>
          </w:tcPr>
          <w:p w14:paraId="7E75393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626" w:type="pct"/>
          </w:tcPr>
          <w:p w14:paraId="722226C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627" w:type="pct"/>
          </w:tcPr>
          <w:p w14:paraId="2335F0DE"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r>
    </w:tbl>
    <w:p w14:paraId="5540A3BE" w14:textId="77777777" w:rsidR="000A5CFA" w:rsidRPr="00490DCE" w:rsidRDefault="000A5CFA">
      <w:pPr>
        <w:pStyle w:val="body"/>
        <w:rPr>
          <w:rFonts w:ascii="Arial" w:hAnsi="Arial" w:cs="Arial"/>
          <w:color w:val="auto"/>
          <w:spacing w:val="-6"/>
          <w:sz w:val="26"/>
          <w:szCs w:val="26"/>
          <w:lang w:val="en-AU"/>
        </w:rPr>
      </w:pPr>
    </w:p>
    <w:p w14:paraId="2BD6A4B0" w14:textId="77777777" w:rsidR="000A5CFA" w:rsidRPr="00490DCE" w:rsidRDefault="00775ABB" w:rsidP="004C1C68">
      <w:pPr>
        <w:pStyle w:val="Heading3"/>
        <w:rPr>
          <w:rFonts w:cs="Arial"/>
        </w:rPr>
      </w:pPr>
      <w:r w:rsidRPr="00490DCE">
        <w:rPr>
          <w:rFonts w:cs="Arial"/>
        </w:rPr>
        <w:br w:type="page"/>
      </w:r>
      <w:r w:rsidR="000A5CFA" w:rsidRPr="00490DCE">
        <w:rPr>
          <w:rFonts w:cs="Arial"/>
        </w:rPr>
        <w:lastRenderedPageBreak/>
        <w:t>3.2 Annual Regulatory Plans</w:t>
      </w:r>
    </w:p>
    <w:p w14:paraId="6478C6A8" w14:textId="77777777" w:rsidR="000A5CFA" w:rsidRPr="00490DCE" w:rsidRDefault="000A5CFA">
      <w:pPr>
        <w:pStyle w:val="body"/>
        <w:rPr>
          <w:rFonts w:ascii="Arial" w:hAnsi="Arial" w:cs="Arial"/>
          <w:color w:val="auto"/>
          <w:spacing w:val="-4"/>
        </w:rPr>
      </w:pPr>
      <w:r w:rsidRPr="00490DCE">
        <w:rPr>
          <w:rFonts w:ascii="Arial" w:hAnsi="Arial" w:cs="Arial"/>
          <w:color w:val="auto"/>
          <w:spacing w:val="-4"/>
        </w:rPr>
        <w:t xml:space="preserve">At the beginning of 2012–13, departments and agencies responsible for regulatory changes that may have a significant impact on business and the not-for-profit sector were required to prepare an Annual Regulatory Plan and publish it on their website. Regulatory plans provide business and the community with ready access to information about past and planned changes to Commonwealth regulation, and make it easier for business to take part in the development of regulation that affects them. </w:t>
      </w:r>
    </w:p>
    <w:p w14:paraId="086A0941" w14:textId="77777777" w:rsidR="000A5CFA" w:rsidRPr="00490DCE" w:rsidRDefault="000A5CFA">
      <w:pPr>
        <w:pStyle w:val="body"/>
        <w:rPr>
          <w:rFonts w:ascii="Arial" w:hAnsi="Arial" w:cs="Arial"/>
          <w:color w:val="auto"/>
        </w:rPr>
      </w:pPr>
      <w:r w:rsidRPr="00490DCE">
        <w:rPr>
          <w:rFonts w:ascii="Arial" w:hAnsi="Arial" w:cs="Arial"/>
          <w:color w:val="auto"/>
        </w:rPr>
        <w:t>Thirty departments and agencies published an Annual Regulatory Plan for 2012–13, while the Australian Securities and Investments Commission did not publish an Annual Regulatory Plan as required by the Government’s regulatory impact analysis requirements.</w:t>
      </w:r>
    </w:p>
    <w:p w14:paraId="66F1BD81" w14:textId="77777777" w:rsidR="000A5CFA" w:rsidRPr="00490DCE" w:rsidRDefault="000A5CFA">
      <w:pPr>
        <w:pStyle w:val="tabletitle"/>
        <w:rPr>
          <w:rFonts w:cs="Arial"/>
        </w:rPr>
      </w:pPr>
      <w:r w:rsidRPr="00490DCE">
        <w:rPr>
          <w:rFonts w:cs="Arial"/>
        </w:rPr>
        <w:t>3.2.1 Annual Regulatory Plans published by department and agency for 2012–13</w:t>
      </w:r>
    </w:p>
    <w:tbl>
      <w:tblPr>
        <w:tblStyle w:val="LightList"/>
        <w:tblW w:w="5000" w:type="pct"/>
        <w:tblLook w:val="0020" w:firstRow="1" w:lastRow="0" w:firstColumn="0" w:lastColumn="0" w:noHBand="0" w:noVBand="0"/>
        <w:tblDescription w:val="List of Departments and Agencies that published an Annual Regulatory Plan in 2012-13"/>
      </w:tblPr>
      <w:tblGrid>
        <w:gridCol w:w="9848"/>
      </w:tblGrid>
      <w:tr w:rsidR="000A5CFA" w:rsidRPr="00490DCE" w14:paraId="106F731C" w14:textId="77777777" w:rsidTr="007425EA">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tcPr>
          <w:p w14:paraId="62FFF539"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Department/Agency</w:t>
            </w:r>
          </w:p>
        </w:tc>
      </w:tr>
      <w:tr w:rsidR="000A5CFA" w:rsidRPr="00490DCE" w14:paraId="72808201"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1E9FC620" w14:textId="77777777" w:rsidR="000A5CFA" w:rsidRPr="00490DCE" w:rsidRDefault="000A5CFA">
            <w:pPr>
              <w:pStyle w:val="body"/>
              <w:rPr>
                <w:rFonts w:ascii="Arial" w:hAnsi="Arial" w:cs="Arial"/>
                <w:color w:val="auto"/>
              </w:rPr>
            </w:pPr>
            <w:r w:rsidRPr="00490DCE">
              <w:rPr>
                <w:rFonts w:ascii="Arial" w:hAnsi="Arial" w:cs="Arial"/>
                <w:color w:val="auto"/>
              </w:rPr>
              <w:t>Attorney-General’s Department</w:t>
            </w:r>
          </w:p>
        </w:tc>
      </w:tr>
      <w:tr w:rsidR="000A5CFA" w:rsidRPr="00490DCE" w14:paraId="2459CFDC"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47084C09" w14:textId="77777777" w:rsidR="000A5CFA" w:rsidRPr="00490DCE" w:rsidRDefault="000A5CFA">
            <w:pPr>
              <w:pStyle w:val="body"/>
              <w:rPr>
                <w:rFonts w:ascii="Arial" w:hAnsi="Arial" w:cs="Arial"/>
                <w:color w:val="auto"/>
              </w:rPr>
            </w:pPr>
            <w:r w:rsidRPr="00490DCE">
              <w:rPr>
                <w:rFonts w:ascii="Arial" w:hAnsi="Arial" w:cs="Arial"/>
                <w:color w:val="auto"/>
              </w:rPr>
              <w:t>Auditing and Assurance Standards Board</w:t>
            </w:r>
          </w:p>
        </w:tc>
      </w:tr>
      <w:tr w:rsidR="000A5CFA" w:rsidRPr="00490DCE" w14:paraId="0EE3F8C5"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487F58D" w14:textId="77777777" w:rsidR="000A5CFA" w:rsidRPr="00490DCE" w:rsidRDefault="000A5CFA">
            <w:pPr>
              <w:pStyle w:val="body"/>
              <w:rPr>
                <w:rFonts w:ascii="Arial" w:hAnsi="Arial" w:cs="Arial"/>
                <w:color w:val="auto"/>
              </w:rPr>
            </w:pPr>
            <w:r w:rsidRPr="00490DCE">
              <w:rPr>
                <w:rFonts w:ascii="Arial" w:hAnsi="Arial" w:cs="Arial"/>
                <w:color w:val="auto"/>
              </w:rPr>
              <w:t>Australian Accounting Standards Board</w:t>
            </w:r>
          </w:p>
        </w:tc>
      </w:tr>
      <w:tr w:rsidR="000A5CFA" w:rsidRPr="00490DCE" w14:paraId="43C3123F"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5ACB492C" w14:textId="77777777" w:rsidR="000A5CFA" w:rsidRPr="00490DCE" w:rsidRDefault="000A5CFA">
            <w:pPr>
              <w:pStyle w:val="body"/>
              <w:rPr>
                <w:rFonts w:ascii="Arial" w:hAnsi="Arial" w:cs="Arial"/>
                <w:color w:val="auto"/>
              </w:rPr>
            </w:pPr>
            <w:r w:rsidRPr="00490DCE">
              <w:rPr>
                <w:rFonts w:ascii="Arial" w:hAnsi="Arial" w:cs="Arial"/>
                <w:color w:val="auto"/>
              </w:rPr>
              <w:t>Australian Communications and Media Authority</w:t>
            </w:r>
          </w:p>
        </w:tc>
      </w:tr>
      <w:tr w:rsidR="000A5CFA" w:rsidRPr="00490DCE" w14:paraId="693A8386"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D9FDEFE" w14:textId="77777777" w:rsidR="000A5CFA" w:rsidRPr="00490DCE" w:rsidRDefault="000A5CFA">
            <w:pPr>
              <w:pStyle w:val="body"/>
              <w:rPr>
                <w:rFonts w:ascii="Arial" w:hAnsi="Arial" w:cs="Arial"/>
                <w:color w:val="auto"/>
              </w:rPr>
            </w:pPr>
            <w:r w:rsidRPr="00490DCE">
              <w:rPr>
                <w:rFonts w:ascii="Arial" w:hAnsi="Arial" w:cs="Arial"/>
                <w:color w:val="auto"/>
              </w:rPr>
              <w:t>Australian Competition and Consumer Commission and Australian Energy Regulator</w:t>
            </w:r>
          </w:p>
        </w:tc>
      </w:tr>
      <w:tr w:rsidR="000A5CFA" w:rsidRPr="00490DCE" w14:paraId="69A29F02"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04D48FF0" w14:textId="77777777" w:rsidR="000A5CFA" w:rsidRPr="00490DCE" w:rsidRDefault="000A5CFA">
            <w:pPr>
              <w:pStyle w:val="body"/>
              <w:rPr>
                <w:rFonts w:ascii="Arial" w:hAnsi="Arial" w:cs="Arial"/>
                <w:color w:val="auto"/>
              </w:rPr>
            </w:pPr>
            <w:r w:rsidRPr="00490DCE">
              <w:rPr>
                <w:rFonts w:ascii="Arial" w:hAnsi="Arial" w:cs="Arial"/>
                <w:color w:val="auto"/>
              </w:rPr>
              <w:t>Australian Customs and Border Protection Service</w:t>
            </w:r>
          </w:p>
        </w:tc>
      </w:tr>
      <w:tr w:rsidR="000A5CFA" w:rsidRPr="00490DCE" w14:paraId="09B24B63"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1EBB121B" w14:textId="77777777" w:rsidR="000A5CFA" w:rsidRPr="00490DCE" w:rsidRDefault="000A5CFA">
            <w:pPr>
              <w:pStyle w:val="body"/>
              <w:rPr>
                <w:rFonts w:ascii="Arial" w:hAnsi="Arial" w:cs="Arial"/>
                <w:color w:val="auto"/>
              </w:rPr>
            </w:pPr>
            <w:r w:rsidRPr="00490DCE">
              <w:rPr>
                <w:rFonts w:ascii="Arial" w:hAnsi="Arial" w:cs="Arial"/>
                <w:color w:val="auto"/>
              </w:rPr>
              <w:t>Australian Maritime Safety Authority</w:t>
            </w:r>
          </w:p>
        </w:tc>
      </w:tr>
      <w:tr w:rsidR="000A5CFA" w:rsidRPr="00490DCE" w14:paraId="3D159121"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1802C393" w14:textId="77777777" w:rsidR="000A5CFA" w:rsidRPr="00490DCE" w:rsidRDefault="000A5CFA">
            <w:pPr>
              <w:pStyle w:val="body"/>
              <w:rPr>
                <w:rFonts w:ascii="Arial" w:hAnsi="Arial" w:cs="Arial"/>
                <w:color w:val="auto"/>
              </w:rPr>
            </w:pPr>
            <w:r w:rsidRPr="00490DCE">
              <w:rPr>
                <w:rFonts w:ascii="Arial" w:hAnsi="Arial" w:cs="Arial"/>
                <w:color w:val="auto"/>
              </w:rPr>
              <w:t>Australian Prudential Regulation Authority</w:t>
            </w:r>
          </w:p>
        </w:tc>
      </w:tr>
      <w:tr w:rsidR="000A5CFA" w:rsidRPr="00490DCE" w14:paraId="259610A1"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7F6D77B3" w14:textId="77777777" w:rsidR="000A5CFA" w:rsidRPr="00490DCE" w:rsidRDefault="000A5CFA">
            <w:pPr>
              <w:pStyle w:val="body"/>
              <w:rPr>
                <w:rFonts w:ascii="Arial" w:hAnsi="Arial" w:cs="Arial"/>
                <w:color w:val="auto"/>
              </w:rPr>
            </w:pPr>
            <w:r w:rsidRPr="00490DCE">
              <w:rPr>
                <w:rFonts w:ascii="Arial" w:hAnsi="Arial" w:cs="Arial"/>
                <w:color w:val="auto"/>
              </w:rPr>
              <w:t>Australian Radiation Protection and Nuclear Safety Agency</w:t>
            </w:r>
          </w:p>
        </w:tc>
      </w:tr>
      <w:tr w:rsidR="000A5CFA" w:rsidRPr="00490DCE" w14:paraId="2EFC6492"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0908BB0C" w14:textId="77777777" w:rsidR="000A5CFA" w:rsidRPr="00490DCE" w:rsidRDefault="000A5CFA">
            <w:pPr>
              <w:pStyle w:val="body"/>
              <w:rPr>
                <w:rFonts w:ascii="Arial" w:hAnsi="Arial" w:cs="Arial"/>
                <w:color w:val="auto"/>
              </w:rPr>
            </w:pPr>
            <w:r w:rsidRPr="00490DCE">
              <w:rPr>
                <w:rFonts w:ascii="Arial" w:hAnsi="Arial" w:cs="Arial"/>
                <w:color w:val="auto"/>
              </w:rPr>
              <w:t>Australian Safeguards and Non-proliferation Office</w:t>
            </w:r>
          </w:p>
        </w:tc>
      </w:tr>
      <w:tr w:rsidR="000A5CFA" w:rsidRPr="00490DCE" w14:paraId="73D6E5E0"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3AB0B22" w14:textId="77777777" w:rsidR="000A5CFA" w:rsidRPr="00490DCE" w:rsidRDefault="000A5CFA">
            <w:pPr>
              <w:pStyle w:val="body"/>
              <w:rPr>
                <w:rFonts w:ascii="Arial" w:hAnsi="Arial" w:cs="Arial"/>
                <w:color w:val="auto"/>
              </w:rPr>
            </w:pPr>
            <w:r w:rsidRPr="00490DCE">
              <w:rPr>
                <w:rFonts w:ascii="Arial" w:hAnsi="Arial" w:cs="Arial"/>
                <w:color w:val="auto"/>
              </w:rPr>
              <w:t>Australian Transaction Reports and Analysis Centre</w:t>
            </w:r>
          </w:p>
        </w:tc>
      </w:tr>
      <w:tr w:rsidR="000A5CFA" w:rsidRPr="00490DCE" w14:paraId="56AFA3EE"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163DAA01" w14:textId="77777777" w:rsidR="000A5CFA" w:rsidRPr="00490DCE" w:rsidRDefault="000A5CFA">
            <w:pPr>
              <w:pStyle w:val="body"/>
              <w:rPr>
                <w:rFonts w:ascii="Arial" w:hAnsi="Arial" w:cs="Arial"/>
                <w:color w:val="auto"/>
              </w:rPr>
            </w:pPr>
            <w:r w:rsidRPr="00490DCE">
              <w:rPr>
                <w:rFonts w:ascii="Arial" w:hAnsi="Arial" w:cs="Arial"/>
                <w:color w:val="auto"/>
              </w:rPr>
              <w:t>Civil Aviation Safety Authority</w:t>
            </w:r>
          </w:p>
        </w:tc>
      </w:tr>
      <w:tr w:rsidR="000A5CFA" w:rsidRPr="00490DCE" w14:paraId="09E14FE1"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B30CAD0" w14:textId="77777777" w:rsidR="000A5CFA" w:rsidRPr="00490DCE" w:rsidRDefault="000A5CFA">
            <w:pPr>
              <w:pStyle w:val="body"/>
              <w:rPr>
                <w:rFonts w:ascii="Arial" w:hAnsi="Arial" w:cs="Arial"/>
                <w:color w:val="auto"/>
              </w:rPr>
            </w:pPr>
            <w:r w:rsidRPr="00490DCE">
              <w:rPr>
                <w:rFonts w:ascii="Arial" w:hAnsi="Arial" w:cs="Arial"/>
                <w:color w:val="auto"/>
              </w:rPr>
              <w:t>Agriculture, Fisheries and Forestry</w:t>
            </w:r>
          </w:p>
        </w:tc>
      </w:tr>
      <w:tr w:rsidR="000A5CFA" w:rsidRPr="00490DCE" w14:paraId="67A0E613"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3C214B3" w14:textId="77777777" w:rsidR="000A5CFA" w:rsidRPr="00490DCE" w:rsidRDefault="000A5CFA">
            <w:pPr>
              <w:pStyle w:val="body"/>
              <w:rPr>
                <w:rFonts w:ascii="Arial" w:hAnsi="Arial" w:cs="Arial"/>
                <w:color w:val="auto"/>
              </w:rPr>
            </w:pPr>
            <w:r w:rsidRPr="00490DCE">
              <w:rPr>
                <w:rFonts w:ascii="Arial" w:hAnsi="Arial" w:cs="Arial"/>
                <w:color w:val="auto"/>
              </w:rPr>
              <w:t>Broadband, Communications and the Digital Economy</w:t>
            </w:r>
          </w:p>
        </w:tc>
      </w:tr>
      <w:tr w:rsidR="000A5CFA" w:rsidRPr="00490DCE" w14:paraId="090C00ED"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2A758F2" w14:textId="77777777" w:rsidR="000A5CFA" w:rsidRPr="00490DCE" w:rsidRDefault="000A5CFA">
            <w:pPr>
              <w:pStyle w:val="body"/>
              <w:rPr>
                <w:rFonts w:ascii="Arial" w:hAnsi="Arial" w:cs="Arial"/>
                <w:color w:val="auto"/>
              </w:rPr>
            </w:pPr>
            <w:r w:rsidRPr="00490DCE">
              <w:rPr>
                <w:rFonts w:ascii="Arial" w:hAnsi="Arial" w:cs="Arial"/>
                <w:color w:val="auto"/>
              </w:rPr>
              <w:t>Education, Employment and Workplace Relations</w:t>
            </w:r>
          </w:p>
        </w:tc>
      </w:tr>
      <w:tr w:rsidR="000A5CFA" w:rsidRPr="00490DCE" w14:paraId="1BE920CF"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C8C42BD" w14:textId="77777777" w:rsidR="000A5CFA" w:rsidRPr="00490DCE" w:rsidRDefault="000A5CFA">
            <w:pPr>
              <w:pStyle w:val="body"/>
              <w:rPr>
                <w:rFonts w:ascii="Arial" w:hAnsi="Arial" w:cs="Arial"/>
                <w:color w:val="auto"/>
              </w:rPr>
            </w:pPr>
            <w:r w:rsidRPr="00490DCE">
              <w:rPr>
                <w:rFonts w:ascii="Arial" w:hAnsi="Arial" w:cs="Arial"/>
                <w:color w:val="auto"/>
              </w:rPr>
              <w:t>Families, Housing, Community Services and Indigenous Affairs</w:t>
            </w:r>
          </w:p>
        </w:tc>
      </w:tr>
      <w:tr w:rsidR="000A5CFA" w:rsidRPr="00490DCE" w14:paraId="5DE8D7AF"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599C5800" w14:textId="77777777" w:rsidR="000A5CFA" w:rsidRPr="00490DCE" w:rsidRDefault="000A5CFA">
            <w:pPr>
              <w:pStyle w:val="body"/>
              <w:rPr>
                <w:rFonts w:ascii="Arial" w:hAnsi="Arial" w:cs="Arial"/>
                <w:color w:val="auto"/>
              </w:rPr>
            </w:pPr>
            <w:r w:rsidRPr="00490DCE">
              <w:rPr>
                <w:rFonts w:ascii="Arial" w:hAnsi="Arial" w:cs="Arial"/>
                <w:color w:val="auto"/>
              </w:rPr>
              <w:t>Finance and Deregulation</w:t>
            </w:r>
          </w:p>
        </w:tc>
      </w:tr>
      <w:tr w:rsidR="000A5CFA" w:rsidRPr="00490DCE" w14:paraId="506A4D27" w14:textId="77777777" w:rsidTr="00775ABB">
        <w:trPr>
          <w:trHeight w:val="292"/>
        </w:trPr>
        <w:tc>
          <w:tcPr>
            <w:cnfStyle w:val="000010000000" w:firstRow="0" w:lastRow="0" w:firstColumn="0" w:lastColumn="0" w:oddVBand="1" w:evenVBand="0" w:oddHBand="0" w:evenHBand="0" w:firstRowFirstColumn="0" w:firstRowLastColumn="0" w:lastRowFirstColumn="0" w:lastRowLastColumn="0"/>
            <w:tcW w:w="5000" w:type="pct"/>
          </w:tcPr>
          <w:p w14:paraId="48A72CB1" w14:textId="77777777" w:rsidR="000A5CFA" w:rsidRPr="00490DCE" w:rsidRDefault="000A5CFA">
            <w:pPr>
              <w:pStyle w:val="body"/>
              <w:rPr>
                <w:rFonts w:ascii="Arial" w:hAnsi="Arial" w:cs="Arial"/>
                <w:color w:val="auto"/>
              </w:rPr>
            </w:pPr>
            <w:r w:rsidRPr="00490DCE">
              <w:rPr>
                <w:rFonts w:ascii="Arial" w:hAnsi="Arial" w:cs="Arial"/>
                <w:color w:val="auto"/>
              </w:rPr>
              <w:t>Foreign Affairs and Trade</w:t>
            </w:r>
          </w:p>
        </w:tc>
      </w:tr>
      <w:tr w:rsidR="000A5CFA" w:rsidRPr="00490DCE" w14:paraId="4B36BF02" w14:textId="77777777" w:rsidTr="00775ABB">
        <w:trPr>
          <w:cnfStyle w:val="000000100000" w:firstRow="0" w:lastRow="0" w:firstColumn="0" w:lastColumn="0" w:oddVBand="0" w:evenVBand="0" w:oddHBand="1" w:evenHBand="0" w:firstRowFirstColumn="0" w:firstRowLastColumn="0" w:lastRowFirstColumn="0" w:lastRowLastColumn="0"/>
          <w:trHeight w:val="292"/>
        </w:trPr>
        <w:tc>
          <w:tcPr>
            <w:cnfStyle w:val="000010000000" w:firstRow="0" w:lastRow="0" w:firstColumn="0" w:lastColumn="0" w:oddVBand="1" w:evenVBand="0" w:oddHBand="0" w:evenHBand="0" w:firstRowFirstColumn="0" w:firstRowLastColumn="0" w:lastRowFirstColumn="0" w:lastRowLastColumn="0"/>
            <w:tcW w:w="5000" w:type="pct"/>
          </w:tcPr>
          <w:p w14:paraId="191EBC9E" w14:textId="77777777" w:rsidR="000A5CFA" w:rsidRPr="00490DCE" w:rsidRDefault="000A5CFA">
            <w:pPr>
              <w:pStyle w:val="body"/>
              <w:rPr>
                <w:rFonts w:ascii="Arial" w:hAnsi="Arial" w:cs="Arial"/>
                <w:color w:val="auto"/>
              </w:rPr>
            </w:pPr>
            <w:r w:rsidRPr="00490DCE">
              <w:rPr>
                <w:rFonts w:ascii="Arial" w:hAnsi="Arial" w:cs="Arial"/>
                <w:color w:val="auto"/>
              </w:rPr>
              <w:t>Health and Ageing</w:t>
            </w:r>
          </w:p>
        </w:tc>
      </w:tr>
      <w:tr w:rsidR="000A5CFA" w:rsidRPr="00490DCE" w14:paraId="5B13C24A"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0E4A7FC1" w14:textId="77777777" w:rsidR="000A5CFA" w:rsidRPr="00490DCE" w:rsidRDefault="000A5CFA">
            <w:pPr>
              <w:pStyle w:val="body"/>
              <w:rPr>
                <w:rFonts w:ascii="Arial" w:hAnsi="Arial" w:cs="Arial"/>
                <w:color w:val="auto"/>
              </w:rPr>
            </w:pPr>
            <w:r w:rsidRPr="00490DCE">
              <w:rPr>
                <w:rFonts w:ascii="Arial" w:hAnsi="Arial" w:cs="Arial"/>
                <w:color w:val="auto"/>
              </w:rPr>
              <w:t>Immigration and Citizenship</w:t>
            </w:r>
          </w:p>
        </w:tc>
      </w:tr>
      <w:tr w:rsidR="000A5CFA" w:rsidRPr="00490DCE" w14:paraId="579128DE"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0116D0C" w14:textId="77777777" w:rsidR="000A5CFA" w:rsidRPr="00490DCE" w:rsidRDefault="000A5CFA">
            <w:pPr>
              <w:pStyle w:val="body"/>
              <w:rPr>
                <w:rFonts w:ascii="Arial" w:hAnsi="Arial" w:cs="Arial"/>
                <w:color w:val="auto"/>
              </w:rPr>
            </w:pPr>
            <w:r w:rsidRPr="00490DCE">
              <w:rPr>
                <w:rFonts w:ascii="Arial" w:hAnsi="Arial" w:cs="Arial"/>
                <w:color w:val="auto"/>
              </w:rPr>
              <w:t>Industry, Innovation, Climate Change, Science, Research and Tertiary Education</w:t>
            </w:r>
          </w:p>
        </w:tc>
      </w:tr>
      <w:tr w:rsidR="000A5CFA" w:rsidRPr="00490DCE" w14:paraId="1A9D8F80"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76D9BFBC" w14:textId="77777777" w:rsidR="000A5CFA" w:rsidRPr="00490DCE" w:rsidRDefault="000A5CFA">
            <w:pPr>
              <w:pStyle w:val="body"/>
              <w:rPr>
                <w:rFonts w:ascii="Arial" w:hAnsi="Arial" w:cs="Arial"/>
                <w:color w:val="auto"/>
              </w:rPr>
            </w:pPr>
            <w:r w:rsidRPr="00490DCE">
              <w:rPr>
                <w:rFonts w:ascii="Arial" w:hAnsi="Arial" w:cs="Arial"/>
                <w:color w:val="auto"/>
              </w:rPr>
              <w:t>Infrastructure and Transport</w:t>
            </w:r>
          </w:p>
        </w:tc>
      </w:tr>
      <w:tr w:rsidR="000A5CFA" w:rsidRPr="00490DCE" w14:paraId="1EFE983F"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996F340" w14:textId="77777777" w:rsidR="000A5CFA" w:rsidRPr="00490DCE" w:rsidRDefault="000A5CFA">
            <w:pPr>
              <w:pStyle w:val="body"/>
              <w:rPr>
                <w:rFonts w:ascii="Arial" w:hAnsi="Arial" w:cs="Arial"/>
                <w:color w:val="auto"/>
              </w:rPr>
            </w:pPr>
            <w:r w:rsidRPr="00490DCE">
              <w:rPr>
                <w:rFonts w:ascii="Arial" w:hAnsi="Arial" w:cs="Arial"/>
                <w:color w:val="auto"/>
              </w:rPr>
              <w:t>Regional Australia, Local Government, Arts and Sport</w:t>
            </w:r>
          </w:p>
        </w:tc>
      </w:tr>
      <w:tr w:rsidR="000A5CFA" w:rsidRPr="00490DCE" w14:paraId="72FF4666"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82372FE" w14:textId="77777777" w:rsidR="000A5CFA" w:rsidRPr="00490DCE" w:rsidRDefault="000A5CFA">
            <w:pPr>
              <w:pStyle w:val="body"/>
              <w:rPr>
                <w:rFonts w:ascii="Arial" w:hAnsi="Arial" w:cs="Arial"/>
                <w:color w:val="auto"/>
              </w:rPr>
            </w:pPr>
            <w:r w:rsidRPr="00490DCE">
              <w:rPr>
                <w:rFonts w:ascii="Arial" w:hAnsi="Arial" w:cs="Arial"/>
                <w:color w:val="auto"/>
              </w:rPr>
              <w:t>Resources, Energy and Tourism</w:t>
            </w:r>
          </w:p>
        </w:tc>
      </w:tr>
      <w:tr w:rsidR="000A5CFA" w:rsidRPr="00490DCE" w14:paraId="1FB44EBB"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463CA5E0" w14:textId="77777777" w:rsidR="000A5CFA" w:rsidRPr="00490DCE" w:rsidRDefault="000A5CFA">
            <w:pPr>
              <w:pStyle w:val="body"/>
              <w:rPr>
                <w:rFonts w:ascii="Arial" w:hAnsi="Arial" w:cs="Arial"/>
                <w:color w:val="auto"/>
              </w:rPr>
            </w:pPr>
            <w:r w:rsidRPr="00490DCE">
              <w:rPr>
                <w:rFonts w:ascii="Arial" w:hAnsi="Arial" w:cs="Arial"/>
                <w:color w:val="auto"/>
              </w:rPr>
              <w:t>Sustainability, Environment, Water, Population and Communities</w:t>
            </w:r>
          </w:p>
        </w:tc>
      </w:tr>
      <w:tr w:rsidR="000A5CFA" w:rsidRPr="00490DCE" w14:paraId="390C1ABD"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633D12EE" w14:textId="77777777" w:rsidR="000A5CFA" w:rsidRPr="00490DCE" w:rsidRDefault="000A5CFA">
            <w:pPr>
              <w:pStyle w:val="body"/>
              <w:rPr>
                <w:rFonts w:ascii="Arial" w:hAnsi="Arial" w:cs="Arial"/>
                <w:color w:val="auto"/>
              </w:rPr>
            </w:pPr>
            <w:r w:rsidRPr="00490DCE">
              <w:rPr>
                <w:rFonts w:ascii="Arial" w:hAnsi="Arial" w:cs="Arial"/>
                <w:color w:val="auto"/>
              </w:rPr>
              <w:t>Veterans’ Affairs</w:t>
            </w:r>
          </w:p>
        </w:tc>
      </w:tr>
      <w:tr w:rsidR="000A5CFA" w:rsidRPr="00490DCE" w14:paraId="34F64A2F"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206A9C2E" w14:textId="77777777" w:rsidR="000A5CFA" w:rsidRPr="00490DCE" w:rsidRDefault="000A5CFA">
            <w:pPr>
              <w:pStyle w:val="body"/>
              <w:rPr>
                <w:rFonts w:ascii="Arial" w:hAnsi="Arial" w:cs="Arial"/>
                <w:color w:val="auto"/>
              </w:rPr>
            </w:pPr>
            <w:r w:rsidRPr="00490DCE">
              <w:rPr>
                <w:rFonts w:ascii="Arial" w:hAnsi="Arial" w:cs="Arial"/>
                <w:color w:val="auto"/>
              </w:rPr>
              <w:t>Great Barrier Reef Marine Park Authority</w:t>
            </w:r>
          </w:p>
        </w:tc>
      </w:tr>
      <w:tr w:rsidR="000A5CFA" w:rsidRPr="00490DCE" w14:paraId="01589DD2"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6788ACC3" w14:textId="77777777" w:rsidR="000A5CFA" w:rsidRPr="00490DCE" w:rsidRDefault="000A5CFA">
            <w:pPr>
              <w:pStyle w:val="body"/>
              <w:rPr>
                <w:rFonts w:ascii="Arial" w:hAnsi="Arial" w:cs="Arial"/>
                <w:color w:val="auto"/>
              </w:rPr>
            </w:pPr>
            <w:r w:rsidRPr="00490DCE">
              <w:rPr>
                <w:rFonts w:ascii="Arial" w:hAnsi="Arial" w:cs="Arial"/>
                <w:color w:val="auto"/>
              </w:rPr>
              <w:t>Private Health Insurance Administration Council</w:t>
            </w:r>
          </w:p>
        </w:tc>
      </w:tr>
      <w:tr w:rsidR="000A5CFA" w:rsidRPr="00490DCE" w14:paraId="23149769" w14:textId="77777777" w:rsidTr="00775ABB">
        <w:trPr>
          <w:cnfStyle w:val="000000100000" w:firstRow="0" w:lastRow="0" w:firstColumn="0" w:lastColumn="0" w:oddVBand="0" w:evenVBand="0" w:oddHBand="1" w:evenHBand="0" w:firstRowFirstColumn="0" w:firstRowLastColumn="0" w:lastRowFirstColumn="0" w:lastRowLastColumn="0"/>
          <w:trHeight w:val="258"/>
        </w:trPr>
        <w:tc>
          <w:tcPr>
            <w:cnfStyle w:val="000010000000" w:firstRow="0" w:lastRow="0" w:firstColumn="0" w:lastColumn="0" w:oddVBand="1" w:evenVBand="0" w:oddHBand="0" w:evenHBand="0" w:firstRowFirstColumn="0" w:firstRowLastColumn="0" w:lastRowFirstColumn="0" w:lastRowLastColumn="0"/>
            <w:tcW w:w="5000" w:type="pct"/>
          </w:tcPr>
          <w:p w14:paraId="3FAB20C2" w14:textId="77777777" w:rsidR="000A5CFA" w:rsidRPr="00490DCE" w:rsidRDefault="000A5CFA">
            <w:pPr>
              <w:pStyle w:val="body"/>
              <w:rPr>
                <w:rFonts w:ascii="Arial" w:hAnsi="Arial" w:cs="Arial"/>
                <w:color w:val="auto"/>
              </w:rPr>
            </w:pPr>
            <w:r w:rsidRPr="00490DCE">
              <w:rPr>
                <w:rFonts w:ascii="Arial" w:hAnsi="Arial" w:cs="Arial"/>
                <w:color w:val="auto"/>
              </w:rPr>
              <w:t>Reserve Bank of Australia</w:t>
            </w:r>
          </w:p>
        </w:tc>
      </w:tr>
      <w:tr w:rsidR="000A5CFA" w:rsidRPr="00490DCE" w14:paraId="146A8981" w14:textId="77777777" w:rsidTr="00775ABB">
        <w:trPr>
          <w:trHeight w:val="258"/>
        </w:trPr>
        <w:tc>
          <w:tcPr>
            <w:cnfStyle w:val="000010000000" w:firstRow="0" w:lastRow="0" w:firstColumn="0" w:lastColumn="0" w:oddVBand="1" w:evenVBand="0" w:oddHBand="0" w:evenHBand="0" w:firstRowFirstColumn="0" w:firstRowLastColumn="0" w:lastRowFirstColumn="0" w:lastRowLastColumn="0"/>
            <w:tcW w:w="5000" w:type="pct"/>
          </w:tcPr>
          <w:p w14:paraId="6801496B" w14:textId="77777777" w:rsidR="000A5CFA" w:rsidRPr="00490DCE" w:rsidRDefault="000A5CFA">
            <w:pPr>
              <w:pStyle w:val="body"/>
              <w:rPr>
                <w:rFonts w:ascii="Arial" w:hAnsi="Arial" w:cs="Arial"/>
                <w:color w:val="auto"/>
              </w:rPr>
            </w:pPr>
            <w:r w:rsidRPr="00490DCE">
              <w:rPr>
                <w:rFonts w:ascii="Arial" w:hAnsi="Arial" w:cs="Arial"/>
                <w:color w:val="auto"/>
              </w:rPr>
              <w:t>Treasury</w:t>
            </w:r>
          </w:p>
        </w:tc>
      </w:tr>
    </w:tbl>
    <w:p w14:paraId="5629E876" w14:textId="77777777" w:rsidR="000A5CFA" w:rsidRPr="00490DCE" w:rsidRDefault="000A5CFA">
      <w:pPr>
        <w:pStyle w:val="body"/>
        <w:rPr>
          <w:rFonts w:ascii="Arial" w:hAnsi="Arial" w:cs="Arial"/>
          <w:color w:val="auto"/>
          <w:sz w:val="22"/>
          <w:szCs w:val="22"/>
          <w:lang w:val="en-AU"/>
        </w:rPr>
      </w:pPr>
    </w:p>
    <w:p w14:paraId="1995255B" w14:textId="77777777" w:rsidR="0067115F" w:rsidRDefault="0067115F">
      <w:pPr>
        <w:suppressAutoHyphens w:val="0"/>
        <w:spacing w:after="0"/>
        <w:rPr>
          <w:rFonts w:cs="Arial"/>
          <w:b/>
          <w:sz w:val="20"/>
          <w:lang w:val="en-GB"/>
        </w:rPr>
      </w:pPr>
      <w:r>
        <w:rPr>
          <w:rFonts w:cs="Arial"/>
        </w:rPr>
        <w:br w:type="page"/>
      </w:r>
    </w:p>
    <w:p w14:paraId="20C7E577" w14:textId="15C74B01" w:rsidR="000A5CFA" w:rsidRPr="00490DCE" w:rsidRDefault="000A5CFA">
      <w:pPr>
        <w:pStyle w:val="tabletitle"/>
        <w:rPr>
          <w:rFonts w:cs="Arial"/>
        </w:rPr>
      </w:pPr>
      <w:r w:rsidRPr="00490DCE">
        <w:rPr>
          <w:rFonts w:cs="Arial"/>
        </w:rPr>
        <w:lastRenderedPageBreak/>
        <w:t>3.2.2 Annual Regulatory Plans not published by department and agency for 2012–13</w:t>
      </w:r>
    </w:p>
    <w:tbl>
      <w:tblPr>
        <w:tblStyle w:val="LightList"/>
        <w:tblW w:w="5000" w:type="pct"/>
        <w:tblLook w:val="0020" w:firstRow="1" w:lastRow="0" w:firstColumn="0" w:lastColumn="0" w:noHBand="0" w:noVBand="0"/>
        <w:tblDescription w:val="List of Departments and Agencies that did not publish an Annual Regulatory Plan in 2012-13: The Australian Securities and Investments Commission."/>
      </w:tblPr>
      <w:tblGrid>
        <w:gridCol w:w="9848"/>
      </w:tblGrid>
      <w:tr w:rsidR="000A5CFA" w:rsidRPr="00490DCE" w14:paraId="2A089FB4"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tcPr>
          <w:p w14:paraId="2FBABD9B" w14:textId="77777777" w:rsidR="000A5CFA" w:rsidRPr="00490DCE" w:rsidRDefault="000A5CFA" w:rsidP="0019227F">
            <w:pPr>
              <w:pStyle w:val="tablehead"/>
              <w:outlineLvl w:val="3"/>
              <w:rPr>
                <w:rFonts w:ascii="Arial" w:hAnsi="Arial" w:cs="Arial"/>
                <w:color w:val="auto"/>
              </w:rPr>
            </w:pPr>
            <w:r w:rsidRPr="00490DCE">
              <w:rPr>
                <w:rStyle w:val="bold"/>
                <w:rFonts w:ascii="Arial" w:hAnsi="Arial" w:cs="Arial"/>
                <w:color w:val="auto"/>
              </w:rPr>
              <w:t>Department/Agency</w:t>
            </w:r>
          </w:p>
        </w:tc>
      </w:tr>
      <w:tr w:rsidR="000A5CFA" w:rsidRPr="00490DCE" w14:paraId="5D978EAD"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tcPr>
          <w:p w14:paraId="27E37F4E" w14:textId="77777777" w:rsidR="000A5CFA" w:rsidRPr="00490DCE" w:rsidRDefault="000A5CFA">
            <w:pPr>
              <w:pStyle w:val="body"/>
              <w:rPr>
                <w:rFonts w:ascii="Arial" w:hAnsi="Arial" w:cs="Arial"/>
                <w:color w:val="auto"/>
              </w:rPr>
            </w:pPr>
            <w:r w:rsidRPr="00490DCE">
              <w:rPr>
                <w:rFonts w:ascii="Arial" w:hAnsi="Arial" w:cs="Arial"/>
                <w:color w:val="auto"/>
              </w:rPr>
              <w:t>Australian Securities and Investments Commission</w:t>
            </w:r>
          </w:p>
        </w:tc>
      </w:tr>
    </w:tbl>
    <w:p w14:paraId="106664B6" w14:textId="77777777" w:rsidR="000A5CFA" w:rsidRPr="00490DCE" w:rsidRDefault="000A5CFA">
      <w:pPr>
        <w:pStyle w:val="body"/>
        <w:rPr>
          <w:rFonts w:ascii="Arial" w:hAnsi="Arial" w:cs="Arial"/>
          <w:color w:val="auto"/>
        </w:rPr>
      </w:pPr>
    </w:p>
    <w:p w14:paraId="433242F4" w14:textId="77777777" w:rsidR="000A5CFA" w:rsidRPr="00490DCE" w:rsidRDefault="00E804F7" w:rsidP="00E804F7">
      <w:pPr>
        <w:pStyle w:val="Heading2"/>
        <w:rPr>
          <w:rFonts w:cs="Arial"/>
        </w:rPr>
      </w:pPr>
      <w:r w:rsidRPr="00490DCE">
        <w:rPr>
          <w:rFonts w:cs="Arial"/>
        </w:rPr>
        <w:br w:type="page"/>
      </w:r>
      <w:r w:rsidR="000A5CFA" w:rsidRPr="00490DCE">
        <w:rPr>
          <w:rFonts w:cs="Arial"/>
        </w:rPr>
        <w:lastRenderedPageBreak/>
        <w:t>4. Compliance by COAG Council</w:t>
      </w:r>
    </w:p>
    <w:p w14:paraId="7A3F6440" w14:textId="77777777" w:rsidR="000A5CFA" w:rsidRPr="00490DCE" w:rsidRDefault="000A5CFA" w:rsidP="00D70C04">
      <w:pPr>
        <w:rPr>
          <w:rFonts w:cs="Arial"/>
        </w:rPr>
      </w:pPr>
      <w:r w:rsidRPr="00490DCE">
        <w:rPr>
          <w:rFonts w:cs="Arial"/>
        </w:rPr>
        <w:t>The OBPR is required to report on compliance by COAG councils and NSSBs with the COAG Guide. The reporting requirement flows from the COAG Agreement to Implement the National Competition Policy and Related Reforms (COAG 1995).</w:t>
      </w:r>
    </w:p>
    <w:p w14:paraId="6CF5F4BE" w14:textId="77777777" w:rsidR="000A5CFA" w:rsidRPr="00490DCE" w:rsidRDefault="000A5CFA" w:rsidP="00D70C04">
      <w:pPr>
        <w:rPr>
          <w:rFonts w:cs="Arial"/>
        </w:rPr>
      </w:pPr>
      <w:r w:rsidRPr="00490DCE">
        <w:rPr>
          <w:rFonts w:cs="Arial"/>
        </w:rPr>
        <w:t>The COAG Guide states that:</w:t>
      </w:r>
    </w:p>
    <w:p w14:paraId="32BB02DA" w14:textId="77777777" w:rsidR="000A5CFA" w:rsidRPr="00490DCE" w:rsidRDefault="000A5CFA">
      <w:pPr>
        <w:pStyle w:val="body"/>
        <w:ind w:left="227"/>
        <w:rPr>
          <w:rStyle w:val="Emphasis"/>
          <w:rFonts w:cs="Arial"/>
          <w:color w:val="auto"/>
        </w:rPr>
      </w:pPr>
      <w:r w:rsidRPr="00490DCE">
        <w:rPr>
          <w:rStyle w:val="Emphasis"/>
          <w:rFonts w:cs="Arial"/>
          <w:color w:val="auto"/>
        </w:rPr>
        <w:t>If regulatory options are being considered (such as self-regulation where governments expect businesses to comply, quasi-regulation, co-regulation and ‘black letter law’) then ministerial councils must subject these options to a regulatory impact assessment process through the preparation of a draft [consultation] and final [decision] Regulation Impact Statement. (COAG Guide, p. 7)</w:t>
      </w:r>
    </w:p>
    <w:p w14:paraId="4B693957" w14:textId="77777777" w:rsidR="000A5CFA" w:rsidRPr="00490DCE" w:rsidRDefault="000A5CFA" w:rsidP="00D70C04">
      <w:pPr>
        <w:rPr>
          <w:rFonts w:cs="Arial"/>
        </w:rPr>
      </w:pPr>
      <w:r w:rsidRPr="00490DCE">
        <w:rPr>
          <w:rFonts w:cs="Arial"/>
        </w:rPr>
        <w:t>In this context, the COAG Guide defines regulation as:</w:t>
      </w:r>
    </w:p>
    <w:p w14:paraId="1EC997C6" w14:textId="77777777" w:rsidR="000A5CFA" w:rsidRPr="00490DCE" w:rsidRDefault="000A5CFA">
      <w:pPr>
        <w:pStyle w:val="body"/>
        <w:ind w:left="227"/>
        <w:rPr>
          <w:rStyle w:val="Emphasis"/>
          <w:rFonts w:cs="Arial"/>
          <w:color w:val="auto"/>
        </w:rPr>
      </w:pPr>
      <w:r w:rsidRPr="00490DCE">
        <w:rPr>
          <w:rStyle w:val="Emphasis"/>
          <w:rFonts w:cs="Arial"/>
          <w:color w:val="auto"/>
        </w:rPr>
        <w:t>The broad range of legally enforceable instruments which impose mandatory requirements upon business and the community, as well as those government voluntary codes and advisory instruments for which there is a reasonable expectation of widespread compliance. (COAG Guide, p. 3)</w:t>
      </w:r>
    </w:p>
    <w:p w14:paraId="36D04040" w14:textId="7A1E9639" w:rsidR="000A5CFA" w:rsidRPr="00490DCE" w:rsidRDefault="000A5CFA" w:rsidP="00D70C04">
      <w:pPr>
        <w:rPr>
          <w:rFonts w:cs="Arial"/>
        </w:rPr>
      </w:pPr>
      <w:r w:rsidRPr="00490DCE">
        <w:rPr>
          <w:rFonts w:cs="Arial"/>
        </w:rPr>
        <w:t>As required in the COAG Guide, the OBPR assesses RISs at two stages: consultation and decision. The OBPR advises the decision</w:t>
      </w:r>
      <w:r w:rsidR="00F43F6A">
        <w:rPr>
          <w:rFonts w:ascii="American Typewriter Light" w:hAnsi="American Typewriter Light" w:cs="American Typewriter Light"/>
        </w:rPr>
        <w:t>-</w:t>
      </w:r>
      <w:r w:rsidRPr="00490DCE">
        <w:rPr>
          <w:rFonts w:cs="Arial"/>
        </w:rPr>
        <w:t>making body at each decision-making stage whether the analysis contained in the RIS meets COAG’s adequacy criteria. The OBPR in making its assessment considers the seven elements specified under COAG’s RIS guidelines — problem, objectives, options, impact analysis, consultation, evaluation and conclusion, and implementation and review.</w:t>
      </w:r>
    </w:p>
    <w:p w14:paraId="6E3DAF5D" w14:textId="77777777" w:rsidR="000A5CFA" w:rsidRPr="00490DCE" w:rsidRDefault="000A5CFA">
      <w:pPr>
        <w:pStyle w:val="body"/>
        <w:ind w:left="227"/>
        <w:rPr>
          <w:rStyle w:val="Emphasis"/>
          <w:rFonts w:cs="Arial"/>
          <w:color w:val="auto"/>
        </w:rPr>
      </w:pPr>
      <w:r w:rsidRPr="00490DCE">
        <w:rPr>
          <w:rStyle w:val="Emphasis"/>
          <w:rFonts w:cs="Arial"/>
          <w:color w:val="auto"/>
        </w:rPr>
        <w:t>It is expected that the level of analysis in a draft [consultation] RIS would be lower than the level of analysis in the final [decision] RIS. This is because the impacts of options are sometimes unclear. The community consultation process is designed to allow interested parties and stakeholders to help identify such impacts. In such cases the OBPR may focus its assessment primarily on the first three parts of the draft [consultation] RIS, the problem, objectives and options section of the RIS. (COAG Guide, p. 8)</w:t>
      </w:r>
    </w:p>
    <w:p w14:paraId="4F7D7400" w14:textId="77777777" w:rsidR="000A5CFA" w:rsidRPr="00490DCE" w:rsidRDefault="000A5CFA" w:rsidP="00D70C04">
      <w:pPr>
        <w:rPr>
          <w:rFonts w:cs="Arial"/>
        </w:rPr>
      </w:pPr>
      <w:r w:rsidRPr="00490DCE">
        <w:rPr>
          <w:rFonts w:cs="Arial"/>
        </w:rPr>
        <w:t>The COAG Guide emphasises transparency by requiring RISs to be made public.</w:t>
      </w:r>
    </w:p>
    <w:p w14:paraId="1AD80F86" w14:textId="77777777" w:rsidR="000A5CFA" w:rsidRPr="00490DCE" w:rsidRDefault="000A5CFA">
      <w:pPr>
        <w:pStyle w:val="body"/>
        <w:ind w:left="227"/>
        <w:rPr>
          <w:rStyle w:val="Emphasis"/>
          <w:rFonts w:cs="Arial"/>
          <w:color w:val="auto"/>
        </w:rPr>
      </w:pPr>
      <w:r w:rsidRPr="00490DCE">
        <w:rPr>
          <w:rStyle w:val="Emphasis"/>
          <w:rFonts w:cs="Arial"/>
          <w:color w:val="auto"/>
        </w:rPr>
        <w:t>After a decision is taken, the final RIS, which should be of a standard suitable for publication, will generally be made public. (COAG Guide, p. 9)</w:t>
      </w:r>
    </w:p>
    <w:p w14:paraId="6DD85441" w14:textId="77777777" w:rsidR="000A5CFA" w:rsidRPr="00490DCE" w:rsidRDefault="000A5CFA" w:rsidP="00D70C04">
      <w:pPr>
        <w:rPr>
          <w:rFonts w:cs="Arial"/>
          <w:lang w:val="en-US"/>
        </w:rPr>
      </w:pPr>
      <w:r w:rsidRPr="00490DCE">
        <w:rPr>
          <w:rFonts w:cs="Arial"/>
          <w:lang w:val="en-US"/>
        </w:rPr>
        <w:t>On 16 August 2010, COAG agreed that COAG RISs will be published on the OBPR website after the regulatory decision has been publicly announced.</w:t>
      </w:r>
    </w:p>
    <w:p w14:paraId="1F2533E2" w14:textId="77777777" w:rsidR="000A5CFA" w:rsidRPr="00490DCE" w:rsidRDefault="00D70C04" w:rsidP="00E804F7">
      <w:pPr>
        <w:pStyle w:val="Heading3"/>
        <w:rPr>
          <w:rFonts w:cs="Arial"/>
        </w:rPr>
      </w:pPr>
      <w:r w:rsidRPr="00490DCE">
        <w:rPr>
          <w:rFonts w:cs="Arial"/>
        </w:rPr>
        <w:br w:type="page"/>
      </w:r>
      <w:r w:rsidR="000A5CFA" w:rsidRPr="00490DCE">
        <w:rPr>
          <w:rFonts w:cs="Arial"/>
        </w:rPr>
        <w:lastRenderedPageBreak/>
        <w:t>4.1 Compliance by COAG council and national standard-setting bodies</w:t>
      </w:r>
    </w:p>
    <w:p w14:paraId="714418B9" w14:textId="77777777" w:rsidR="000A5CFA" w:rsidRPr="00490DCE" w:rsidRDefault="000A5CFA" w:rsidP="00D70C04">
      <w:pPr>
        <w:rPr>
          <w:rFonts w:cs="Arial"/>
        </w:rPr>
      </w:pPr>
      <w:r w:rsidRPr="00490DCE">
        <w:rPr>
          <w:rFonts w:cs="Arial"/>
        </w:rPr>
        <w:t>During 2012–13, thirteen COAG councils and NSSBs made decisions which triggered the COAG best practice regulation requirements. Eleven COAG councils and NSSBs were fully compliant, while the Australian Registrars’ National Electronic Conveyancing Council, and Legislative and Governance Forum on Food Regulation were not (</w:t>
      </w:r>
      <w:proofErr w:type="gramStart"/>
      <w:r w:rsidRPr="00490DCE">
        <w:rPr>
          <w:rFonts w:cs="Arial"/>
        </w:rPr>
        <w:t>see</w:t>
      </w:r>
      <w:proofErr w:type="gramEnd"/>
      <w:r w:rsidRPr="00490DCE">
        <w:rPr>
          <w:rFonts w:cs="Arial"/>
        </w:rPr>
        <w:t xml:space="preserve"> Table 4.1).</w:t>
      </w:r>
    </w:p>
    <w:p w14:paraId="5C75772D" w14:textId="77777777" w:rsidR="00D70C04" w:rsidRPr="00490DCE" w:rsidRDefault="000A5CFA" w:rsidP="00D70C04">
      <w:pPr>
        <w:rPr>
          <w:rFonts w:cs="Arial"/>
        </w:rPr>
      </w:pPr>
      <w:r w:rsidRPr="00490DCE">
        <w:rPr>
          <w:rFonts w:cs="Arial"/>
        </w:rPr>
        <w:t xml:space="preserve">This chapter also contains information on the 20 consultation RISs that have been made public </w:t>
      </w:r>
      <w:r w:rsidRPr="00490DCE">
        <w:rPr>
          <w:rFonts w:cs="Arial"/>
        </w:rPr>
        <w:br/>
        <w:t>but for which no regulatory decisions have been made.</w:t>
      </w:r>
    </w:p>
    <w:p w14:paraId="2169F0DC" w14:textId="77777777" w:rsidR="000A5CFA" w:rsidRPr="00490DCE" w:rsidRDefault="000A5CFA" w:rsidP="00D70C04">
      <w:pPr>
        <w:pStyle w:val="tabletitle"/>
        <w:rPr>
          <w:rFonts w:cs="Arial"/>
        </w:rPr>
      </w:pPr>
      <w:r w:rsidRPr="00490DCE">
        <w:rPr>
          <w:rFonts w:cs="Arial"/>
        </w:rPr>
        <w:t>Table 4.1: Compliance with COAG’s RIS requirements 2012–13 consultation, decision-making and publishing stage</w:t>
      </w:r>
    </w:p>
    <w:tbl>
      <w:tblPr>
        <w:tblStyle w:val="LightList"/>
        <w:tblW w:w="5000" w:type="pct"/>
        <w:tblLook w:val="0020" w:firstRow="1" w:lastRow="0" w:firstColumn="0" w:lastColumn="0" w:noHBand="0" w:noVBand="0"/>
        <w:tblDescription w:val="Compliance with Council of Australian Governments RIS requirements during 2012-13"/>
      </w:tblPr>
      <w:tblGrid>
        <w:gridCol w:w="2632"/>
        <w:gridCol w:w="1202"/>
        <w:gridCol w:w="1206"/>
        <w:gridCol w:w="1201"/>
        <w:gridCol w:w="1203"/>
        <w:gridCol w:w="1201"/>
        <w:gridCol w:w="1203"/>
      </w:tblGrid>
      <w:tr w:rsidR="000A5CFA" w:rsidRPr="00490DCE" w14:paraId="2A81A149"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336" w:type="pct"/>
          </w:tcPr>
          <w:p w14:paraId="7849F6E5" w14:textId="77777777" w:rsidR="000A5CFA" w:rsidRPr="00490DCE" w:rsidRDefault="000A5CFA" w:rsidP="00EF0601">
            <w:pPr>
              <w:pStyle w:val="tablehead"/>
              <w:outlineLvl w:val="3"/>
              <w:rPr>
                <w:rFonts w:ascii="Arial" w:hAnsi="Arial" w:cs="Arial"/>
                <w:color w:val="auto"/>
              </w:rPr>
            </w:pPr>
            <w:r w:rsidRPr="00490DCE">
              <w:rPr>
                <w:rFonts w:ascii="Arial" w:hAnsi="Arial" w:cs="Arial"/>
                <w:color w:val="auto"/>
              </w:rPr>
              <w:t>COAG Council/ NSSB</w:t>
            </w:r>
          </w:p>
        </w:tc>
        <w:tc>
          <w:tcPr>
            <w:tcW w:w="1222" w:type="pct"/>
            <w:gridSpan w:val="2"/>
          </w:tcPr>
          <w:p w14:paraId="48919A44" w14:textId="77777777" w:rsidR="000A5CFA" w:rsidRPr="00490DC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Consultation</w:t>
            </w:r>
          </w:p>
        </w:tc>
        <w:tc>
          <w:tcPr>
            <w:cnfStyle w:val="000010000000" w:firstRow="0" w:lastRow="0" w:firstColumn="0" w:lastColumn="0" w:oddVBand="1" w:evenVBand="0" w:oddHBand="0" w:evenHBand="0" w:firstRowFirstColumn="0" w:firstRowLastColumn="0" w:lastRowFirstColumn="0" w:lastRowLastColumn="0"/>
            <w:tcW w:w="1221" w:type="pct"/>
            <w:gridSpan w:val="2"/>
          </w:tcPr>
          <w:p w14:paraId="14D7EBE9" w14:textId="77777777" w:rsidR="000A5CFA" w:rsidRPr="00490DCE" w:rsidRDefault="000A5CFA" w:rsidP="00EF0601">
            <w:pPr>
              <w:pStyle w:val="tablehead"/>
              <w:jc w:val="center"/>
              <w:outlineLvl w:val="3"/>
              <w:rPr>
                <w:rFonts w:ascii="Arial" w:hAnsi="Arial" w:cs="Arial"/>
                <w:color w:val="auto"/>
              </w:rPr>
            </w:pPr>
            <w:r w:rsidRPr="00490DCE">
              <w:rPr>
                <w:rFonts w:ascii="Arial" w:hAnsi="Arial" w:cs="Arial"/>
                <w:color w:val="auto"/>
              </w:rPr>
              <w:t>Decision</w:t>
            </w:r>
          </w:p>
        </w:tc>
        <w:tc>
          <w:tcPr>
            <w:tcW w:w="1222" w:type="pct"/>
            <w:gridSpan w:val="2"/>
          </w:tcPr>
          <w:p w14:paraId="3A820EE1" w14:textId="77777777" w:rsidR="000A5CFA" w:rsidRPr="00490DC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Published</w:t>
            </w:r>
          </w:p>
        </w:tc>
      </w:tr>
      <w:tr w:rsidR="000A5CFA" w:rsidRPr="00490DCE" w14:paraId="30855B94"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336" w:type="pct"/>
          </w:tcPr>
          <w:p w14:paraId="4A15354D"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610" w:type="pct"/>
          </w:tcPr>
          <w:p w14:paraId="2AAAA543"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Compliant</w:t>
            </w:r>
          </w:p>
        </w:tc>
        <w:tc>
          <w:tcPr>
            <w:cnfStyle w:val="000010000000" w:firstRow="0" w:lastRow="0" w:firstColumn="0" w:lastColumn="0" w:oddVBand="1" w:evenVBand="0" w:oddHBand="0" w:evenHBand="0" w:firstRowFirstColumn="0" w:firstRowLastColumn="0" w:lastRowFirstColumn="0" w:lastRowLastColumn="0"/>
            <w:tcW w:w="611" w:type="pct"/>
          </w:tcPr>
          <w:p w14:paraId="6F92D075"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Non-compliant</w:t>
            </w:r>
          </w:p>
        </w:tc>
        <w:tc>
          <w:tcPr>
            <w:tcW w:w="610" w:type="pct"/>
          </w:tcPr>
          <w:p w14:paraId="6E53FF87"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Compliant</w:t>
            </w:r>
          </w:p>
        </w:tc>
        <w:tc>
          <w:tcPr>
            <w:cnfStyle w:val="000010000000" w:firstRow="0" w:lastRow="0" w:firstColumn="0" w:lastColumn="0" w:oddVBand="1" w:evenVBand="0" w:oddHBand="0" w:evenHBand="0" w:firstRowFirstColumn="0" w:firstRowLastColumn="0" w:lastRowFirstColumn="0" w:lastRowLastColumn="0"/>
            <w:tcW w:w="610" w:type="pct"/>
          </w:tcPr>
          <w:p w14:paraId="277ED4F5"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Non-compliant</w:t>
            </w:r>
          </w:p>
        </w:tc>
        <w:tc>
          <w:tcPr>
            <w:tcW w:w="610" w:type="pct"/>
          </w:tcPr>
          <w:p w14:paraId="47BC78AB"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Compliant</w:t>
            </w:r>
          </w:p>
        </w:tc>
        <w:tc>
          <w:tcPr>
            <w:cnfStyle w:val="000010000000" w:firstRow="0" w:lastRow="0" w:firstColumn="0" w:lastColumn="0" w:oddVBand="1" w:evenVBand="0" w:oddHBand="0" w:evenHBand="0" w:firstRowFirstColumn="0" w:firstRowLastColumn="0" w:lastRowFirstColumn="0" w:lastRowLastColumn="0"/>
            <w:tcW w:w="611" w:type="pct"/>
          </w:tcPr>
          <w:p w14:paraId="246E24C5"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Non-compliant</w:t>
            </w:r>
          </w:p>
        </w:tc>
      </w:tr>
      <w:tr w:rsidR="000A5CFA" w:rsidRPr="00490DCE" w14:paraId="0266F554"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07171795" w14:textId="77777777" w:rsidR="000A5CFA" w:rsidRPr="00490DCE" w:rsidRDefault="000A5CFA">
            <w:pPr>
              <w:pStyle w:val="body"/>
              <w:rPr>
                <w:rFonts w:ascii="Arial" w:hAnsi="Arial" w:cs="Arial"/>
                <w:color w:val="auto"/>
              </w:rPr>
            </w:pPr>
            <w:r w:rsidRPr="00490DCE">
              <w:rPr>
                <w:rFonts w:ascii="Arial" w:hAnsi="Arial" w:cs="Arial"/>
                <w:color w:val="auto"/>
              </w:rPr>
              <w:t>Attorney-General’s Department</w:t>
            </w:r>
          </w:p>
        </w:tc>
        <w:tc>
          <w:tcPr>
            <w:tcW w:w="610" w:type="pct"/>
          </w:tcPr>
          <w:p w14:paraId="1BF0684D"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70DE1C26"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13EAD744"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3351101D"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47E3FC28"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104D5949"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6D65C4FA"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42DE46A5" w14:textId="77777777" w:rsidR="000A5CFA" w:rsidRPr="00490DCE" w:rsidRDefault="000A5CFA">
            <w:pPr>
              <w:pStyle w:val="body"/>
              <w:rPr>
                <w:rFonts w:ascii="Arial" w:hAnsi="Arial" w:cs="Arial"/>
                <w:color w:val="auto"/>
              </w:rPr>
            </w:pPr>
            <w:r w:rsidRPr="00490DCE">
              <w:rPr>
                <w:rFonts w:ascii="Arial" w:hAnsi="Arial" w:cs="Arial"/>
                <w:color w:val="auto"/>
              </w:rPr>
              <w:t>Australian Building Codes Board</w:t>
            </w:r>
          </w:p>
        </w:tc>
        <w:tc>
          <w:tcPr>
            <w:tcW w:w="610" w:type="pct"/>
          </w:tcPr>
          <w:p w14:paraId="64490B7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61490DA5"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4A9D6F1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14BBEB1A"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836EFD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E9B7860"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F60CBE2"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74429D4F" w14:textId="77777777" w:rsidR="000A5CFA" w:rsidRPr="00490DCE" w:rsidRDefault="000A5CFA">
            <w:pPr>
              <w:pStyle w:val="body"/>
              <w:rPr>
                <w:rFonts w:ascii="Arial" w:hAnsi="Arial" w:cs="Arial"/>
                <w:color w:val="auto"/>
              </w:rPr>
            </w:pPr>
            <w:r w:rsidRPr="00490DCE">
              <w:rPr>
                <w:rFonts w:ascii="Arial" w:hAnsi="Arial" w:cs="Arial"/>
                <w:color w:val="auto"/>
              </w:rPr>
              <w:t>Australian Registrars’ National Electronic Conveyancing Council</w:t>
            </w:r>
          </w:p>
        </w:tc>
        <w:tc>
          <w:tcPr>
            <w:tcW w:w="610" w:type="pct"/>
          </w:tcPr>
          <w:p w14:paraId="3A99CE85"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99490AB"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137ECD7C"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c>
          <w:tcPr>
            <w:cnfStyle w:val="000010000000" w:firstRow="0" w:lastRow="0" w:firstColumn="0" w:lastColumn="0" w:oddVBand="1" w:evenVBand="0" w:oddHBand="0" w:evenHBand="0" w:firstRowFirstColumn="0" w:firstRowLastColumn="0" w:lastRowFirstColumn="0" w:lastRowLastColumn="0"/>
            <w:tcW w:w="610" w:type="pct"/>
          </w:tcPr>
          <w:p w14:paraId="029DCDF7"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c>
          <w:tcPr>
            <w:tcW w:w="610" w:type="pct"/>
          </w:tcPr>
          <w:p w14:paraId="7AF32DE1"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5E3416F0"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1BCC2C52"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0F7A56A6" w14:textId="77777777" w:rsidR="000A5CFA" w:rsidRPr="00490DCE" w:rsidRDefault="000A5CFA">
            <w:pPr>
              <w:pStyle w:val="body"/>
              <w:rPr>
                <w:rFonts w:ascii="Arial" w:hAnsi="Arial" w:cs="Arial"/>
                <w:color w:val="auto"/>
              </w:rPr>
            </w:pPr>
            <w:r w:rsidRPr="00490DCE">
              <w:rPr>
                <w:rFonts w:ascii="Arial" w:hAnsi="Arial" w:cs="Arial"/>
                <w:color w:val="auto"/>
              </w:rPr>
              <w:t>Food Standards Australia New Zealand</w:t>
            </w:r>
          </w:p>
        </w:tc>
        <w:tc>
          <w:tcPr>
            <w:tcW w:w="610" w:type="pct"/>
          </w:tcPr>
          <w:p w14:paraId="635AE4F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11" w:type="pct"/>
          </w:tcPr>
          <w:p w14:paraId="310E9639"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17A5CEE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10" w:type="pct"/>
          </w:tcPr>
          <w:p w14:paraId="4EFFC86A"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45B8697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11" w:type="pct"/>
          </w:tcPr>
          <w:p w14:paraId="4EB1F336"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CE2D90B"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02CD0721" w14:textId="77777777" w:rsidR="000A5CFA" w:rsidRPr="00490DCE" w:rsidRDefault="000A5CFA">
            <w:pPr>
              <w:pStyle w:val="body"/>
              <w:rPr>
                <w:rFonts w:ascii="Arial" w:hAnsi="Arial" w:cs="Arial"/>
                <w:color w:val="auto"/>
              </w:rPr>
            </w:pPr>
            <w:r w:rsidRPr="00490DCE">
              <w:rPr>
                <w:rFonts w:ascii="Arial" w:hAnsi="Arial" w:cs="Arial"/>
                <w:color w:val="auto"/>
              </w:rPr>
              <w:t xml:space="preserve">Legislative and Governance Forum </w:t>
            </w:r>
            <w:r w:rsidRPr="00490DCE">
              <w:rPr>
                <w:rFonts w:ascii="Arial" w:hAnsi="Arial" w:cs="Arial"/>
                <w:color w:val="auto"/>
              </w:rPr>
              <w:br/>
              <w:t>on Food Regulation</w:t>
            </w:r>
          </w:p>
        </w:tc>
        <w:tc>
          <w:tcPr>
            <w:tcW w:w="610" w:type="pct"/>
          </w:tcPr>
          <w:p w14:paraId="0E973F74"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c>
          <w:tcPr>
            <w:cnfStyle w:val="000010000000" w:firstRow="0" w:lastRow="0" w:firstColumn="0" w:lastColumn="0" w:oddVBand="1" w:evenVBand="0" w:oddHBand="0" w:evenHBand="0" w:firstRowFirstColumn="0" w:firstRowLastColumn="0" w:lastRowFirstColumn="0" w:lastRowLastColumn="0"/>
            <w:tcW w:w="611" w:type="pct"/>
          </w:tcPr>
          <w:p w14:paraId="5B69FD0A"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c>
          <w:tcPr>
            <w:tcW w:w="610" w:type="pct"/>
          </w:tcPr>
          <w:p w14:paraId="0C1D4672"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c>
          <w:tcPr>
            <w:cnfStyle w:val="000010000000" w:firstRow="0" w:lastRow="0" w:firstColumn="0" w:lastColumn="0" w:oddVBand="1" w:evenVBand="0" w:oddHBand="0" w:evenHBand="0" w:firstRowFirstColumn="0" w:firstRowLastColumn="0" w:lastRowFirstColumn="0" w:lastRowLastColumn="0"/>
            <w:tcW w:w="610" w:type="pct"/>
          </w:tcPr>
          <w:p w14:paraId="5A2446C6"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c>
          <w:tcPr>
            <w:tcW w:w="610" w:type="pct"/>
          </w:tcPr>
          <w:p w14:paraId="3CBBFF15" w14:textId="77777777" w:rsidR="000A5CFA" w:rsidRPr="00490DCE" w:rsidRDefault="000A5CFA">
            <w:pPr>
              <w:pStyle w:val="NoParagraphStyle"/>
              <w:spacing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lang w:val="en-US"/>
              </w:rPr>
            </w:pPr>
          </w:p>
        </w:tc>
        <w:tc>
          <w:tcPr>
            <w:cnfStyle w:val="000010000000" w:firstRow="0" w:lastRow="0" w:firstColumn="0" w:lastColumn="0" w:oddVBand="1" w:evenVBand="0" w:oddHBand="0" w:evenHBand="0" w:firstRowFirstColumn="0" w:firstRowLastColumn="0" w:lastRowFirstColumn="0" w:lastRowLastColumn="0"/>
            <w:tcW w:w="611" w:type="pct"/>
          </w:tcPr>
          <w:p w14:paraId="1335AAB7" w14:textId="77777777" w:rsidR="000A5CFA" w:rsidRPr="00490DCE" w:rsidRDefault="000A5CFA">
            <w:pPr>
              <w:pStyle w:val="body"/>
              <w:jc w:val="center"/>
              <w:rPr>
                <w:rFonts w:ascii="Arial" w:hAnsi="Arial" w:cs="Arial"/>
                <w:color w:val="auto"/>
              </w:rPr>
            </w:pPr>
            <w:r w:rsidRPr="00490DCE">
              <w:rPr>
                <w:rFonts w:ascii="Arial" w:hAnsi="Arial" w:cs="Arial"/>
                <w:color w:val="auto"/>
              </w:rPr>
              <w:t>1</w:t>
            </w:r>
          </w:p>
        </w:tc>
      </w:tr>
      <w:tr w:rsidR="000A5CFA" w:rsidRPr="00490DCE" w14:paraId="6E2C4B60"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75AD3510" w14:textId="77777777" w:rsidR="000A5CFA" w:rsidRPr="00490DCE" w:rsidRDefault="000A5CFA">
            <w:pPr>
              <w:pStyle w:val="body"/>
              <w:rPr>
                <w:rFonts w:ascii="Arial" w:hAnsi="Arial" w:cs="Arial"/>
                <w:color w:val="auto"/>
              </w:rPr>
            </w:pPr>
            <w:r w:rsidRPr="00490DCE">
              <w:rPr>
                <w:rFonts w:ascii="Arial" w:hAnsi="Arial" w:cs="Arial"/>
                <w:color w:val="auto"/>
              </w:rPr>
              <w:t>National Environment Protection Council</w:t>
            </w:r>
          </w:p>
        </w:tc>
        <w:tc>
          <w:tcPr>
            <w:tcW w:w="610" w:type="pct"/>
          </w:tcPr>
          <w:p w14:paraId="10D99E4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0798C569"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AD9FD8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67E0CABC"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35CE773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4CBF9E64"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7752DC94"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3454950A" w14:textId="77777777" w:rsidR="000A5CFA" w:rsidRPr="00490DCE" w:rsidRDefault="000A5CFA">
            <w:pPr>
              <w:pStyle w:val="body"/>
              <w:rPr>
                <w:rFonts w:ascii="Arial" w:hAnsi="Arial" w:cs="Arial"/>
                <w:color w:val="auto"/>
              </w:rPr>
            </w:pPr>
            <w:r w:rsidRPr="00490DCE">
              <w:rPr>
                <w:rFonts w:ascii="Arial" w:hAnsi="Arial" w:cs="Arial"/>
                <w:color w:val="auto"/>
              </w:rPr>
              <w:t>Select Council on Climate Change</w:t>
            </w:r>
          </w:p>
        </w:tc>
        <w:tc>
          <w:tcPr>
            <w:tcW w:w="610" w:type="pct"/>
          </w:tcPr>
          <w:p w14:paraId="2BE68184"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45037979"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3157EC9A"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151C9B07"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5740F2C"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5076C43B"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6076536"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40E50F1B" w14:textId="77777777" w:rsidR="000A5CFA" w:rsidRPr="00490DCE" w:rsidRDefault="000A5CFA">
            <w:pPr>
              <w:pStyle w:val="body"/>
              <w:rPr>
                <w:rFonts w:ascii="Arial" w:hAnsi="Arial" w:cs="Arial"/>
                <w:color w:val="auto"/>
              </w:rPr>
            </w:pPr>
            <w:r w:rsidRPr="00490DCE">
              <w:rPr>
                <w:rFonts w:ascii="Arial" w:hAnsi="Arial" w:cs="Arial"/>
                <w:color w:val="auto"/>
              </w:rPr>
              <w:t>Select Council on Housing and Homelessness</w:t>
            </w:r>
          </w:p>
        </w:tc>
        <w:tc>
          <w:tcPr>
            <w:tcW w:w="610" w:type="pct"/>
          </w:tcPr>
          <w:p w14:paraId="2E8143A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00DCE30"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1CABE3D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094FEE12"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5A6CE8E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1F2FC0E2"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1D04017B"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64C28A8D" w14:textId="77777777" w:rsidR="000A5CFA" w:rsidRPr="00490DCE" w:rsidRDefault="000A5CFA">
            <w:pPr>
              <w:pStyle w:val="body"/>
              <w:rPr>
                <w:rFonts w:ascii="Arial" w:hAnsi="Arial" w:cs="Arial"/>
                <w:color w:val="auto"/>
              </w:rPr>
            </w:pPr>
            <w:r w:rsidRPr="00490DCE">
              <w:rPr>
                <w:rFonts w:ascii="Arial" w:hAnsi="Arial" w:cs="Arial"/>
                <w:color w:val="auto"/>
              </w:rPr>
              <w:t>Standing Council on Energy and Resources</w:t>
            </w:r>
          </w:p>
        </w:tc>
        <w:tc>
          <w:tcPr>
            <w:tcW w:w="610" w:type="pct"/>
          </w:tcPr>
          <w:p w14:paraId="164A3D6F"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923889E"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233CDF34"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714BA481"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7DF2E82A"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6AC18479"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ADB044F"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3DB99843" w14:textId="77777777" w:rsidR="000A5CFA" w:rsidRPr="00490DCE" w:rsidRDefault="000A5CFA">
            <w:pPr>
              <w:pStyle w:val="body"/>
              <w:rPr>
                <w:rFonts w:ascii="Arial" w:hAnsi="Arial" w:cs="Arial"/>
                <w:color w:val="auto"/>
              </w:rPr>
            </w:pPr>
            <w:r w:rsidRPr="00490DCE">
              <w:rPr>
                <w:rFonts w:ascii="Arial" w:hAnsi="Arial" w:cs="Arial"/>
                <w:color w:val="auto"/>
                <w:spacing w:val="-2"/>
              </w:rPr>
              <w:t xml:space="preserve">Standing Council </w:t>
            </w:r>
            <w:r w:rsidRPr="00490DCE">
              <w:rPr>
                <w:rFonts w:ascii="Arial" w:hAnsi="Arial" w:cs="Arial"/>
                <w:color w:val="auto"/>
                <w:spacing w:val="-2"/>
              </w:rPr>
              <w:br/>
              <w:t>on Health</w:t>
            </w:r>
          </w:p>
        </w:tc>
        <w:tc>
          <w:tcPr>
            <w:tcW w:w="610" w:type="pct"/>
          </w:tcPr>
          <w:p w14:paraId="14130E3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A163A70"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1CCB35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250872C9"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5028579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36B64DFF"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122ABA1B"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0F4107EB" w14:textId="77777777" w:rsidR="000A5CFA" w:rsidRPr="00490DCE" w:rsidRDefault="000A5CFA">
            <w:pPr>
              <w:pStyle w:val="body"/>
              <w:rPr>
                <w:rFonts w:ascii="Arial" w:hAnsi="Arial" w:cs="Arial"/>
                <w:color w:val="auto"/>
              </w:rPr>
            </w:pPr>
            <w:r w:rsidRPr="00490DCE">
              <w:rPr>
                <w:rFonts w:ascii="Arial" w:hAnsi="Arial" w:cs="Arial"/>
                <w:color w:val="auto"/>
              </w:rPr>
              <w:t>Standing Council on Primary Industries</w:t>
            </w:r>
          </w:p>
        </w:tc>
        <w:tc>
          <w:tcPr>
            <w:tcW w:w="610" w:type="pct"/>
          </w:tcPr>
          <w:p w14:paraId="4CD98535"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4FD81CFE"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30DD14D7"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2C754A68"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2AB44A81"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619AFEB8"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75B36F1C"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0C324872" w14:textId="77777777" w:rsidR="000A5CFA" w:rsidRPr="00490DCE" w:rsidRDefault="000A5CFA">
            <w:pPr>
              <w:pStyle w:val="body"/>
              <w:rPr>
                <w:rFonts w:ascii="Arial" w:hAnsi="Arial" w:cs="Arial"/>
                <w:color w:val="auto"/>
              </w:rPr>
            </w:pPr>
            <w:r w:rsidRPr="00490DCE">
              <w:rPr>
                <w:rFonts w:ascii="Arial" w:hAnsi="Arial" w:cs="Arial"/>
                <w:color w:val="auto"/>
              </w:rPr>
              <w:t>Standing Council on Tertiary Education, Skills and Employment</w:t>
            </w:r>
          </w:p>
        </w:tc>
        <w:tc>
          <w:tcPr>
            <w:tcW w:w="610" w:type="pct"/>
          </w:tcPr>
          <w:p w14:paraId="0011FE7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4D5B7517"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48A7E21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6B99D263"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729231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5033FE66"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340CD0E5" w14:textId="77777777" w:rsidTr="00D70C0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336" w:type="pct"/>
          </w:tcPr>
          <w:p w14:paraId="7FBA8020" w14:textId="77777777" w:rsidR="000A5CFA" w:rsidRPr="00490DCE" w:rsidRDefault="000A5CFA">
            <w:pPr>
              <w:pStyle w:val="body"/>
              <w:rPr>
                <w:rFonts w:ascii="Arial" w:hAnsi="Arial" w:cs="Arial"/>
                <w:color w:val="auto"/>
              </w:rPr>
            </w:pPr>
            <w:r w:rsidRPr="00490DCE">
              <w:rPr>
                <w:rFonts w:ascii="Arial" w:hAnsi="Arial" w:cs="Arial"/>
                <w:color w:val="auto"/>
              </w:rPr>
              <w:t>Standing Council on Transport and Infrastructure</w:t>
            </w:r>
          </w:p>
        </w:tc>
        <w:tc>
          <w:tcPr>
            <w:tcW w:w="610" w:type="pct"/>
          </w:tcPr>
          <w:p w14:paraId="30D24EAD"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0F2110DA"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0290320C"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0" w:type="pct"/>
          </w:tcPr>
          <w:p w14:paraId="70DCA855" w14:textId="77777777" w:rsidR="000A5CFA" w:rsidRPr="00490DCE" w:rsidRDefault="000A5CFA">
            <w:pPr>
              <w:pStyle w:val="NoParagraphStyle"/>
              <w:spacing w:line="240" w:lineRule="auto"/>
              <w:textAlignment w:val="auto"/>
              <w:rPr>
                <w:rFonts w:ascii="Arial" w:hAnsi="Arial" w:cs="Arial"/>
                <w:color w:val="auto"/>
                <w:lang w:val="en-US"/>
              </w:rPr>
            </w:pPr>
          </w:p>
        </w:tc>
        <w:tc>
          <w:tcPr>
            <w:tcW w:w="610" w:type="pct"/>
          </w:tcPr>
          <w:p w14:paraId="5C32CB00"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11" w:type="pct"/>
          </w:tcPr>
          <w:p w14:paraId="23A2B52A"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D6541D" w14:paraId="29EC60BB" w14:textId="77777777" w:rsidTr="00D70C04">
        <w:trPr>
          <w:trHeight w:val="60"/>
        </w:trPr>
        <w:tc>
          <w:tcPr>
            <w:cnfStyle w:val="000010000000" w:firstRow="0" w:lastRow="0" w:firstColumn="0" w:lastColumn="0" w:oddVBand="1" w:evenVBand="0" w:oddHBand="0" w:evenHBand="0" w:firstRowFirstColumn="0" w:firstRowLastColumn="0" w:lastRowFirstColumn="0" w:lastRowLastColumn="0"/>
            <w:tcW w:w="1336" w:type="pct"/>
          </w:tcPr>
          <w:p w14:paraId="6AB6A35A" w14:textId="77777777" w:rsidR="000A5CFA" w:rsidRPr="00D6541D" w:rsidRDefault="000A5CFA">
            <w:pPr>
              <w:pStyle w:val="body"/>
              <w:rPr>
                <w:rFonts w:ascii="Arial" w:hAnsi="Arial" w:cs="Arial"/>
                <w:b/>
                <w:color w:val="auto"/>
              </w:rPr>
            </w:pPr>
            <w:r w:rsidRPr="00D6541D">
              <w:rPr>
                <w:rStyle w:val="bold"/>
                <w:rFonts w:ascii="Arial" w:hAnsi="Arial" w:cs="Arial"/>
                <w:b/>
                <w:color w:val="auto"/>
              </w:rPr>
              <w:t>Total</w:t>
            </w:r>
          </w:p>
        </w:tc>
        <w:tc>
          <w:tcPr>
            <w:tcW w:w="610" w:type="pct"/>
          </w:tcPr>
          <w:p w14:paraId="7BA59C71" w14:textId="77777777" w:rsidR="000A5CFA" w:rsidRPr="00D6541D"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6541D">
              <w:rPr>
                <w:rStyle w:val="bold"/>
                <w:rFonts w:ascii="Arial" w:hAnsi="Arial" w:cs="Arial"/>
                <w:b/>
                <w:color w:val="auto"/>
              </w:rPr>
              <w:t>13</w:t>
            </w:r>
          </w:p>
        </w:tc>
        <w:tc>
          <w:tcPr>
            <w:cnfStyle w:val="000010000000" w:firstRow="0" w:lastRow="0" w:firstColumn="0" w:lastColumn="0" w:oddVBand="1" w:evenVBand="0" w:oddHBand="0" w:evenHBand="0" w:firstRowFirstColumn="0" w:firstRowLastColumn="0" w:lastRowFirstColumn="0" w:lastRowLastColumn="0"/>
            <w:tcW w:w="611" w:type="pct"/>
          </w:tcPr>
          <w:p w14:paraId="1B6F98B5" w14:textId="77777777" w:rsidR="000A5CFA" w:rsidRPr="00D6541D" w:rsidRDefault="000A5CFA">
            <w:pPr>
              <w:pStyle w:val="body"/>
              <w:jc w:val="center"/>
              <w:rPr>
                <w:rFonts w:ascii="Arial" w:hAnsi="Arial" w:cs="Arial"/>
                <w:b/>
                <w:color w:val="auto"/>
              </w:rPr>
            </w:pPr>
            <w:r w:rsidRPr="00D6541D">
              <w:rPr>
                <w:rStyle w:val="bold"/>
                <w:rFonts w:ascii="Arial" w:hAnsi="Arial" w:cs="Arial"/>
                <w:b/>
                <w:color w:val="auto"/>
              </w:rPr>
              <w:t>1</w:t>
            </w:r>
          </w:p>
        </w:tc>
        <w:tc>
          <w:tcPr>
            <w:tcW w:w="610" w:type="pct"/>
          </w:tcPr>
          <w:p w14:paraId="234222C2" w14:textId="77777777" w:rsidR="000A5CFA" w:rsidRPr="00D6541D"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6541D">
              <w:rPr>
                <w:rStyle w:val="bold"/>
                <w:rFonts w:ascii="Arial" w:hAnsi="Arial" w:cs="Arial"/>
                <w:b/>
                <w:color w:val="auto"/>
              </w:rPr>
              <w:t>12</w:t>
            </w:r>
          </w:p>
        </w:tc>
        <w:tc>
          <w:tcPr>
            <w:cnfStyle w:val="000010000000" w:firstRow="0" w:lastRow="0" w:firstColumn="0" w:lastColumn="0" w:oddVBand="1" w:evenVBand="0" w:oddHBand="0" w:evenHBand="0" w:firstRowFirstColumn="0" w:firstRowLastColumn="0" w:lastRowFirstColumn="0" w:lastRowLastColumn="0"/>
            <w:tcW w:w="610" w:type="pct"/>
          </w:tcPr>
          <w:p w14:paraId="3B3C3F7F" w14:textId="77777777" w:rsidR="000A5CFA" w:rsidRPr="00D6541D" w:rsidRDefault="000A5CFA">
            <w:pPr>
              <w:pStyle w:val="body"/>
              <w:jc w:val="center"/>
              <w:rPr>
                <w:rFonts w:ascii="Arial" w:hAnsi="Arial" w:cs="Arial"/>
                <w:b/>
                <w:color w:val="auto"/>
              </w:rPr>
            </w:pPr>
            <w:r w:rsidRPr="00D6541D">
              <w:rPr>
                <w:rStyle w:val="bold"/>
                <w:rFonts w:ascii="Arial" w:hAnsi="Arial" w:cs="Arial"/>
                <w:b/>
                <w:color w:val="auto"/>
              </w:rPr>
              <w:t>2</w:t>
            </w:r>
          </w:p>
        </w:tc>
        <w:tc>
          <w:tcPr>
            <w:tcW w:w="610" w:type="pct"/>
          </w:tcPr>
          <w:p w14:paraId="115CCEDF" w14:textId="77777777" w:rsidR="000A5CFA" w:rsidRPr="00D6541D"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D6541D">
              <w:rPr>
                <w:rStyle w:val="bold"/>
                <w:rFonts w:ascii="Arial" w:hAnsi="Arial" w:cs="Arial"/>
                <w:b/>
                <w:color w:val="auto"/>
              </w:rPr>
              <w:t>13</w:t>
            </w:r>
          </w:p>
        </w:tc>
        <w:tc>
          <w:tcPr>
            <w:cnfStyle w:val="000010000000" w:firstRow="0" w:lastRow="0" w:firstColumn="0" w:lastColumn="0" w:oddVBand="1" w:evenVBand="0" w:oddHBand="0" w:evenHBand="0" w:firstRowFirstColumn="0" w:firstRowLastColumn="0" w:lastRowFirstColumn="0" w:lastRowLastColumn="0"/>
            <w:tcW w:w="611" w:type="pct"/>
          </w:tcPr>
          <w:p w14:paraId="3078EB6C" w14:textId="77777777" w:rsidR="000A5CFA" w:rsidRPr="00D6541D" w:rsidRDefault="000A5CFA">
            <w:pPr>
              <w:pStyle w:val="body"/>
              <w:jc w:val="center"/>
              <w:rPr>
                <w:rFonts w:ascii="Arial" w:hAnsi="Arial" w:cs="Arial"/>
                <w:b/>
                <w:color w:val="auto"/>
              </w:rPr>
            </w:pPr>
            <w:r w:rsidRPr="00D6541D">
              <w:rPr>
                <w:rStyle w:val="bold"/>
                <w:rFonts w:ascii="Arial" w:hAnsi="Arial" w:cs="Arial"/>
                <w:b/>
                <w:color w:val="auto"/>
              </w:rPr>
              <w:t>1</w:t>
            </w:r>
          </w:p>
        </w:tc>
      </w:tr>
    </w:tbl>
    <w:p w14:paraId="6C47BF3F" w14:textId="77777777" w:rsidR="000A5CFA" w:rsidRPr="00490DCE" w:rsidRDefault="000A5CFA">
      <w:pPr>
        <w:pStyle w:val="NoParagraphStyle"/>
        <w:suppressAutoHyphens/>
        <w:rPr>
          <w:rFonts w:ascii="Arial" w:hAnsi="Arial" w:cs="Arial"/>
          <w:color w:val="auto"/>
          <w:sz w:val="22"/>
          <w:szCs w:val="22"/>
          <w:lang w:val="en-US"/>
        </w:rPr>
      </w:pPr>
    </w:p>
    <w:p w14:paraId="1780C182" w14:textId="77777777" w:rsidR="000A5CFA" w:rsidRPr="00490DCE" w:rsidRDefault="00D70C04" w:rsidP="00E804F7">
      <w:pPr>
        <w:pStyle w:val="Heading3"/>
        <w:rPr>
          <w:rFonts w:cs="Arial"/>
        </w:rPr>
      </w:pPr>
      <w:r w:rsidRPr="00490DCE">
        <w:rPr>
          <w:rFonts w:cs="Arial"/>
        </w:rPr>
        <w:br w:type="page"/>
      </w:r>
      <w:r w:rsidR="000A5CFA" w:rsidRPr="00490DCE">
        <w:rPr>
          <w:rFonts w:cs="Arial"/>
        </w:rPr>
        <w:lastRenderedPageBreak/>
        <w:t>4.2 Detailed compliance results by COAG council and national standard-setting bodies</w:t>
      </w:r>
    </w:p>
    <w:p w14:paraId="418C682D" w14:textId="77777777" w:rsidR="000A5CFA" w:rsidRPr="00490DCE" w:rsidRDefault="000A5CFA" w:rsidP="00D70C04">
      <w:pPr>
        <w:rPr>
          <w:rFonts w:cs="Arial"/>
          <w:lang w:val="en-US"/>
        </w:rPr>
      </w:pPr>
      <w:r w:rsidRPr="00490DCE">
        <w:rPr>
          <w:rFonts w:cs="Arial"/>
        </w:rPr>
        <w:t xml:space="preserve">The following tables show more detailed compliance by COAG council and NSSB at the consultation and decision-making stages. </w:t>
      </w:r>
    </w:p>
    <w:p w14:paraId="428558EB" w14:textId="77777777" w:rsidR="000A5CFA" w:rsidRPr="00490DCE" w:rsidRDefault="000A5CFA">
      <w:pPr>
        <w:pStyle w:val="tabletitle"/>
        <w:rPr>
          <w:rFonts w:cs="Arial"/>
        </w:rPr>
      </w:pPr>
      <w:r w:rsidRPr="00490DCE">
        <w:rPr>
          <w:rFonts w:cs="Arial"/>
        </w:rPr>
        <w:t>4.2.1 Australian Building Codes Board</w:t>
      </w:r>
    </w:p>
    <w:tbl>
      <w:tblPr>
        <w:tblStyle w:val="LightList"/>
        <w:tblW w:w="5000" w:type="pct"/>
        <w:tblLook w:val="0020" w:firstRow="1" w:lastRow="0" w:firstColumn="0" w:lastColumn="0" w:noHBand="0" w:noVBand="0"/>
        <w:tblDescription w:val="Detailed Compliance with Council of Australian Governments RIS requirements during 2012-13 - Australian Building Codes Board"/>
      </w:tblPr>
      <w:tblGrid>
        <w:gridCol w:w="697"/>
        <w:gridCol w:w="3559"/>
        <w:gridCol w:w="1298"/>
        <w:gridCol w:w="1430"/>
        <w:gridCol w:w="1430"/>
        <w:gridCol w:w="1434"/>
      </w:tblGrid>
      <w:tr w:rsidR="000A5CFA" w:rsidRPr="00490DCE" w14:paraId="73B2632A"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10B10FA8"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028894E9"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1D9338DF"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33F98B2B"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075CC764"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0D5A07D8"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spacing w:val="-2"/>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51EBAC01"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59328797"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495DE770"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4CC55515" w14:textId="77777777" w:rsidR="000A5CFA" w:rsidRPr="005E3894" w:rsidRDefault="000A5CFA">
            <w:pPr>
              <w:pStyle w:val="body"/>
              <w:rPr>
                <w:rFonts w:ascii="Arial" w:hAnsi="Arial" w:cs="Arial"/>
                <w:b/>
                <w:color w:val="auto"/>
              </w:rPr>
            </w:pPr>
            <w:r w:rsidRPr="005E3894">
              <w:rPr>
                <w:rStyle w:val="bold"/>
                <w:rFonts w:ascii="Arial" w:hAnsi="Arial" w:cs="Arial"/>
                <w:b/>
                <w:color w:val="auto"/>
              </w:rPr>
              <w:t>Standards to Address Intrusive External Noise in New Residential Buildings</w:t>
            </w:r>
          </w:p>
        </w:tc>
      </w:tr>
      <w:tr w:rsidR="000A5CFA" w:rsidRPr="00490DCE" w14:paraId="297CE085"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3284983E"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23D15339" w14:textId="77777777" w:rsidR="000A5CFA" w:rsidRPr="005E3894"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5E3894">
              <w:rPr>
                <w:rStyle w:val="italic"/>
                <w:rFonts w:ascii="Arial" w:hAnsi="Arial" w:cs="Arial"/>
                <w:i/>
                <w:color w:val="auto"/>
              </w:rPr>
              <w:t>Proposal to address the problem of intrusive external noise in new residential buildings.</w:t>
            </w:r>
          </w:p>
        </w:tc>
        <w:tc>
          <w:tcPr>
            <w:cnfStyle w:val="000010000000" w:firstRow="0" w:lastRow="0" w:firstColumn="0" w:lastColumn="0" w:oddVBand="1" w:evenVBand="0" w:oddHBand="0" w:evenHBand="0" w:firstRowFirstColumn="0" w:firstRowLastColumn="0" w:lastRowFirstColumn="0" w:lastRowLastColumn="0"/>
            <w:tcW w:w="659" w:type="pct"/>
          </w:tcPr>
          <w:p w14:paraId="30727D3C"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33B443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03B578AF"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63E37E9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33A50B6B"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6BE0A7C" w14:textId="77777777" w:rsidR="000A5CFA" w:rsidRPr="005E3894" w:rsidRDefault="000A5CFA">
            <w:pPr>
              <w:pStyle w:val="body"/>
              <w:rPr>
                <w:rFonts w:ascii="Arial" w:hAnsi="Arial" w:cs="Arial"/>
                <w:b/>
                <w:color w:val="auto"/>
              </w:rPr>
            </w:pPr>
            <w:r w:rsidRPr="005E3894">
              <w:rPr>
                <w:rStyle w:val="bold"/>
                <w:rFonts w:ascii="Arial" w:hAnsi="Arial" w:cs="Arial"/>
                <w:b/>
                <w:color w:val="auto"/>
              </w:rPr>
              <w:t>Construction of Buildings in Flood Hazard Areas</w:t>
            </w:r>
          </w:p>
        </w:tc>
      </w:tr>
      <w:tr w:rsidR="000A5CFA" w:rsidRPr="00490DCE" w14:paraId="4845216C"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5DB3CF93"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562F3416" w14:textId="77777777" w:rsidR="000A5CFA" w:rsidRPr="005E3894"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5E3894">
              <w:rPr>
                <w:rStyle w:val="italic"/>
                <w:rFonts w:ascii="Arial" w:hAnsi="Arial" w:cs="Arial"/>
                <w:i/>
                <w:color w:val="auto"/>
                <w:spacing w:val="-2"/>
              </w:rPr>
              <w:t>National Construction Code standard to address the risk of floods to new residential buildings.</w:t>
            </w:r>
          </w:p>
        </w:tc>
        <w:tc>
          <w:tcPr>
            <w:cnfStyle w:val="000010000000" w:firstRow="0" w:lastRow="0" w:firstColumn="0" w:lastColumn="0" w:oddVBand="1" w:evenVBand="0" w:oddHBand="0" w:evenHBand="0" w:firstRowFirstColumn="0" w:firstRowLastColumn="0" w:lastRowFirstColumn="0" w:lastRowLastColumn="0"/>
            <w:tcW w:w="659" w:type="pct"/>
          </w:tcPr>
          <w:p w14:paraId="6BEE093B" w14:textId="77777777" w:rsidR="000A5CFA" w:rsidRPr="00490DCE" w:rsidRDefault="000A5CFA">
            <w:pPr>
              <w:pStyle w:val="body"/>
              <w:jc w:val="center"/>
              <w:rPr>
                <w:rFonts w:ascii="Arial" w:hAnsi="Arial" w:cs="Arial"/>
                <w:color w:val="auto"/>
              </w:rPr>
            </w:pPr>
            <w:r w:rsidRPr="00490DCE">
              <w:rPr>
                <w:rFonts w:ascii="Arial" w:hAnsi="Arial" w:cs="Arial"/>
                <w:color w:val="auto"/>
              </w:rPr>
              <w:t>December 2012</w:t>
            </w:r>
          </w:p>
        </w:tc>
        <w:tc>
          <w:tcPr>
            <w:tcW w:w="726" w:type="pct"/>
          </w:tcPr>
          <w:p w14:paraId="25E5031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DB4372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65B412E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1F20045A" w14:textId="77777777" w:rsidR="000A5CFA" w:rsidRPr="00490DCE" w:rsidRDefault="000A5CFA">
      <w:pPr>
        <w:pStyle w:val="body"/>
        <w:rPr>
          <w:rFonts w:ascii="Arial" w:hAnsi="Arial" w:cs="Arial"/>
          <w:color w:val="auto"/>
          <w:sz w:val="16"/>
          <w:szCs w:val="16"/>
          <w:lang w:val="en-AU"/>
        </w:rPr>
      </w:pPr>
    </w:p>
    <w:p w14:paraId="2A53BB8D" w14:textId="77777777" w:rsidR="000A5CFA" w:rsidRPr="00490DCE" w:rsidRDefault="000A5CFA" w:rsidP="00146AC9">
      <w:pPr>
        <w:pStyle w:val="footnote"/>
        <w:rPr>
          <w:rStyle w:val="italic"/>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694ED54E" w14:textId="77777777" w:rsidR="000A5CFA" w:rsidRPr="00490DCE" w:rsidRDefault="000A5CFA">
      <w:pPr>
        <w:pStyle w:val="tabletitle"/>
        <w:rPr>
          <w:rFonts w:cs="Arial"/>
        </w:rPr>
      </w:pPr>
      <w:r w:rsidRPr="00490DCE">
        <w:rPr>
          <w:rFonts w:cs="Arial"/>
        </w:rPr>
        <w:t>4.2.2 Attorney-General’s Department</w:t>
      </w:r>
    </w:p>
    <w:tbl>
      <w:tblPr>
        <w:tblStyle w:val="LightList"/>
        <w:tblW w:w="5000" w:type="pct"/>
        <w:tblLook w:val="0020" w:firstRow="1" w:lastRow="0" w:firstColumn="0" w:lastColumn="0" w:noHBand="0" w:noVBand="0"/>
        <w:tblDescription w:val="Detailed Compliance with Council of Australian Governments RIS requirements during 2012-13 - Attorney-General's Department"/>
      </w:tblPr>
      <w:tblGrid>
        <w:gridCol w:w="697"/>
        <w:gridCol w:w="3559"/>
        <w:gridCol w:w="1298"/>
        <w:gridCol w:w="1430"/>
        <w:gridCol w:w="1430"/>
        <w:gridCol w:w="1434"/>
      </w:tblGrid>
      <w:tr w:rsidR="000A5CFA" w:rsidRPr="00490DCE" w14:paraId="67578FB8"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1059FD50"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55C82F00"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253185C0"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77E4CC8C"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1F8800BC"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Date of Decision</w:t>
            </w:r>
          </w:p>
        </w:tc>
        <w:tc>
          <w:tcPr>
            <w:tcW w:w="726" w:type="pct"/>
          </w:tcPr>
          <w:p w14:paraId="3F90F919"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spacing w:val="-2"/>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37B114E4"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Compliant at Decision</w:t>
            </w:r>
          </w:p>
        </w:tc>
        <w:tc>
          <w:tcPr>
            <w:tcW w:w="726" w:type="pct"/>
          </w:tcPr>
          <w:p w14:paraId="1F7B3C62"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Final RIS Published</w:t>
            </w:r>
          </w:p>
        </w:tc>
      </w:tr>
      <w:tr w:rsidR="000A5CFA" w:rsidRPr="00490DCE" w14:paraId="1068DDB1"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7BC00410" w14:textId="77777777" w:rsidR="000A5CFA" w:rsidRPr="005E3894" w:rsidRDefault="000A5CFA">
            <w:pPr>
              <w:pStyle w:val="body"/>
              <w:rPr>
                <w:rFonts w:ascii="Arial" w:hAnsi="Arial" w:cs="Arial"/>
                <w:b/>
                <w:color w:val="auto"/>
              </w:rPr>
            </w:pPr>
            <w:r w:rsidRPr="005E3894">
              <w:rPr>
                <w:rStyle w:val="bold"/>
                <w:rFonts w:ascii="Arial" w:hAnsi="Arial" w:cs="Arial"/>
                <w:b/>
                <w:color w:val="auto"/>
              </w:rPr>
              <w:t>Chemical Security: Precursors to Homemade Explosives</w:t>
            </w:r>
          </w:p>
        </w:tc>
      </w:tr>
      <w:tr w:rsidR="000A5CFA" w:rsidRPr="00490DCE" w14:paraId="151DB52C"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220D76CA"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992F2A7" w14:textId="77777777" w:rsidR="000A5CFA" w:rsidRPr="005E3894"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5E3894">
              <w:rPr>
                <w:rFonts w:ascii="Arial" w:hAnsi="Arial" w:cs="Arial"/>
                <w:i/>
                <w:color w:val="auto"/>
              </w:rPr>
              <w:t>Improving security arrangements for businesses that handle chemicals that can be used to make homemade explosives.</w:t>
            </w:r>
          </w:p>
        </w:tc>
        <w:tc>
          <w:tcPr>
            <w:cnfStyle w:val="000010000000" w:firstRow="0" w:lastRow="0" w:firstColumn="0" w:lastColumn="0" w:oddVBand="1" w:evenVBand="0" w:oddHBand="0" w:evenHBand="0" w:firstRowFirstColumn="0" w:firstRowLastColumn="0" w:lastRowFirstColumn="0" w:lastRowLastColumn="0"/>
            <w:tcW w:w="659" w:type="pct"/>
          </w:tcPr>
          <w:p w14:paraId="1573F79E" w14:textId="77777777" w:rsidR="000A5CFA" w:rsidRPr="00490DCE" w:rsidRDefault="000A5CFA">
            <w:pPr>
              <w:pStyle w:val="body"/>
              <w:jc w:val="center"/>
              <w:rPr>
                <w:rFonts w:ascii="Arial" w:hAnsi="Arial" w:cs="Arial"/>
                <w:color w:val="auto"/>
              </w:rPr>
            </w:pPr>
            <w:r w:rsidRPr="00490DCE">
              <w:rPr>
                <w:rFonts w:ascii="Arial" w:hAnsi="Arial" w:cs="Arial"/>
                <w:color w:val="auto"/>
              </w:rPr>
              <w:t>11 December 2012</w:t>
            </w:r>
          </w:p>
        </w:tc>
        <w:tc>
          <w:tcPr>
            <w:tcW w:w="726" w:type="pct"/>
          </w:tcPr>
          <w:p w14:paraId="1CEF211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1CD668FF"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6886C41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2FBC1467" w14:textId="77777777" w:rsidR="000A5CFA" w:rsidRPr="00490DCE" w:rsidRDefault="000A5CFA">
      <w:pPr>
        <w:pStyle w:val="body"/>
        <w:rPr>
          <w:rFonts w:ascii="Arial" w:hAnsi="Arial" w:cs="Arial"/>
          <w:color w:val="auto"/>
          <w:sz w:val="22"/>
          <w:szCs w:val="22"/>
          <w:lang w:val="en-US"/>
        </w:rPr>
      </w:pPr>
    </w:p>
    <w:p w14:paraId="5D678ED4" w14:textId="77777777" w:rsidR="000A5CFA" w:rsidRPr="00490DCE" w:rsidRDefault="000A5CFA">
      <w:pPr>
        <w:pStyle w:val="tabletitle"/>
        <w:rPr>
          <w:rFonts w:cs="Arial"/>
        </w:rPr>
      </w:pPr>
      <w:r w:rsidRPr="00490DCE">
        <w:rPr>
          <w:rFonts w:cs="Arial"/>
        </w:rPr>
        <w:t>4.2.3 Australian Health Workforce Ministerial Council</w:t>
      </w:r>
    </w:p>
    <w:tbl>
      <w:tblPr>
        <w:tblStyle w:val="LightList"/>
        <w:tblW w:w="5000" w:type="pct"/>
        <w:tblLook w:val="0020" w:firstRow="1" w:lastRow="0" w:firstColumn="0" w:lastColumn="0" w:noHBand="0" w:noVBand="0"/>
        <w:tblDescription w:val="Detailed Compliance with Council of Australian Governments RIS requirements during 2012-13 - Australian Health Workfoce Ministerial Council"/>
      </w:tblPr>
      <w:tblGrid>
        <w:gridCol w:w="697"/>
        <w:gridCol w:w="3559"/>
        <w:gridCol w:w="1298"/>
        <w:gridCol w:w="1430"/>
        <w:gridCol w:w="1430"/>
        <w:gridCol w:w="1434"/>
      </w:tblGrid>
      <w:tr w:rsidR="000A5CFA" w:rsidRPr="00490DCE" w14:paraId="5970DF66"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68DF4BEE"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BEB5AE3"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5A372225" w14:textId="77777777" w:rsidR="000A5CFA" w:rsidRPr="0033158E" w:rsidRDefault="000A5CFA">
            <w:pPr>
              <w:pStyle w:val="NoParagraphStyle"/>
              <w:spacing w:line="240" w:lineRule="auto"/>
              <w:textAlignment w:val="auto"/>
              <w:rPr>
                <w:rFonts w:ascii="Arial" w:hAnsi="Arial" w:cs="Arial"/>
                <w:b w:val="0"/>
                <w:color w:val="auto"/>
                <w:lang w:val="en-US"/>
              </w:rPr>
            </w:pPr>
          </w:p>
        </w:tc>
        <w:tc>
          <w:tcPr>
            <w:tcW w:w="1807" w:type="pct"/>
          </w:tcPr>
          <w:p w14:paraId="1025DA55"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1735B025"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01B336F0"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534F5134"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24EB24B1"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169BEC10"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F0AA655" w14:textId="77777777" w:rsidR="000A5CFA" w:rsidRPr="005E3894" w:rsidRDefault="000A5CFA">
            <w:pPr>
              <w:pStyle w:val="body"/>
              <w:rPr>
                <w:rFonts w:ascii="Arial" w:hAnsi="Arial" w:cs="Arial"/>
                <w:b/>
                <w:color w:val="auto"/>
              </w:rPr>
            </w:pPr>
            <w:r w:rsidRPr="005E3894">
              <w:rPr>
                <w:rStyle w:val="bold"/>
                <w:rFonts w:ascii="Arial" w:hAnsi="Arial" w:cs="Arial"/>
                <w:b/>
                <w:color w:val="auto"/>
              </w:rPr>
              <w:t>Options for Regulation of Paramedics</w:t>
            </w:r>
          </w:p>
        </w:tc>
      </w:tr>
      <w:tr w:rsidR="000A5CFA" w:rsidRPr="00490DCE" w14:paraId="437C961D"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76BBEBD7"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225382A1" w14:textId="77777777" w:rsidR="000A5CFA" w:rsidRPr="005E3894"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5E3894">
              <w:rPr>
                <w:rStyle w:val="italic"/>
                <w:rFonts w:ascii="Arial" w:hAnsi="Arial" w:cs="Arial"/>
                <w:i/>
                <w:color w:val="auto"/>
              </w:rPr>
              <w:t>Options for changing the regulation of paramedics.</w:t>
            </w:r>
          </w:p>
        </w:tc>
        <w:tc>
          <w:tcPr>
            <w:cnfStyle w:val="000010000000" w:firstRow="0" w:lastRow="0" w:firstColumn="0" w:lastColumn="0" w:oddVBand="1" w:evenVBand="0" w:oddHBand="0" w:evenHBand="0" w:firstRowFirstColumn="0" w:firstRowLastColumn="0" w:lastRowFirstColumn="0" w:lastRowLastColumn="0"/>
            <w:tcW w:w="659" w:type="pct"/>
          </w:tcPr>
          <w:p w14:paraId="78C72723"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B3562F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1A21DA39"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1FBD7D4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1D97B7A5" w14:textId="77777777" w:rsidR="000A5CFA" w:rsidRPr="00490DCE" w:rsidRDefault="000A5CFA">
      <w:pPr>
        <w:pStyle w:val="body"/>
        <w:rPr>
          <w:rFonts w:ascii="Arial" w:hAnsi="Arial" w:cs="Arial"/>
          <w:color w:val="auto"/>
          <w:sz w:val="16"/>
          <w:szCs w:val="16"/>
          <w:lang w:val="en-AU"/>
        </w:rPr>
      </w:pPr>
    </w:p>
    <w:p w14:paraId="606CF800" w14:textId="77777777" w:rsidR="000A5CFA" w:rsidRPr="00490DCE" w:rsidRDefault="000A5CFA" w:rsidP="00146AC9">
      <w:pPr>
        <w:pStyle w:val="footnote"/>
        <w:rPr>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4F7307A4" w14:textId="77777777" w:rsidR="000A5CFA" w:rsidRPr="00490DCE" w:rsidRDefault="00146AC9">
      <w:pPr>
        <w:pStyle w:val="tabletitle"/>
        <w:rPr>
          <w:rFonts w:cs="Arial"/>
          <w:lang w:val="en-US"/>
        </w:rPr>
      </w:pPr>
      <w:r w:rsidRPr="00490DCE">
        <w:rPr>
          <w:rFonts w:cs="Arial"/>
        </w:rPr>
        <w:br w:type="page"/>
      </w:r>
      <w:r w:rsidR="000A5CFA" w:rsidRPr="00490DCE">
        <w:rPr>
          <w:rFonts w:cs="Arial"/>
        </w:rPr>
        <w:lastRenderedPageBreak/>
        <w:t>4.2.4 Australian Registrars’ National Electronic Conveyancing Council</w:t>
      </w:r>
    </w:p>
    <w:tbl>
      <w:tblPr>
        <w:tblStyle w:val="LightList"/>
        <w:tblW w:w="5000" w:type="pct"/>
        <w:tblLook w:val="0020" w:firstRow="1" w:lastRow="0" w:firstColumn="0" w:lastColumn="0" w:noHBand="0" w:noVBand="0"/>
        <w:tblDescription w:val="Detailed Compliance with Council of Australian Governments RIS requirements during 2012-13 - Australian Registrars' National Electronic Conveyancing Council"/>
      </w:tblPr>
      <w:tblGrid>
        <w:gridCol w:w="697"/>
        <w:gridCol w:w="3559"/>
        <w:gridCol w:w="1298"/>
        <w:gridCol w:w="1430"/>
        <w:gridCol w:w="1430"/>
        <w:gridCol w:w="1434"/>
      </w:tblGrid>
      <w:tr w:rsidR="000A5CFA" w:rsidRPr="00490DCE" w14:paraId="101387DE"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0AF91126"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02C8101"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585017CE"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13AE109B"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17BFCAD3"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33D4C331"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0450EDAB"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2FBA7BCF"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35477BC0"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665DBDCE"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Electronic Conveyancing National Law</w:t>
            </w:r>
          </w:p>
        </w:tc>
      </w:tr>
      <w:tr w:rsidR="000A5CFA" w:rsidRPr="00490DCE" w14:paraId="54BEA4D6"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12634E84"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6C7E8A9"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Proposed Electronic Conveyancing National Law that will facilitate the implementation of National Electronic Conveyancing.</w:t>
            </w:r>
          </w:p>
        </w:tc>
        <w:tc>
          <w:tcPr>
            <w:cnfStyle w:val="000010000000" w:firstRow="0" w:lastRow="0" w:firstColumn="0" w:lastColumn="0" w:oddVBand="1" w:evenVBand="0" w:oddHBand="0" w:evenHBand="0" w:firstRowFirstColumn="0" w:firstRowLastColumn="0" w:lastRowFirstColumn="0" w:lastRowLastColumn="0"/>
            <w:tcW w:w="659" w:type="pct"/>
          </w:tcPr>
          <w:p w14:paraId="3E35528B" w14:textId="77777777" w:rsidR="000A5CFA" w:rsidRPr="00490DCE" w:rsidRDefault="000A5CFA">
            <w:pPr>
              <w:pStyle w:val="body"/>
              <w:jc w:val="center"/>
              <w:rPr>
                <w:rFonts w:ascii="Arial" w:hAnsi="Arial" w:cs="Arial"/>
                <w:color w:val="auto"/>
              </w:rPr>
            </w:pPr>
            <w:r w:rsidRPr="00490DCE">
              <w:rPr>
                <w:rFonts w:ascii="Arial" w:hAnsi="Arial" w:cs="Arial"/>
                <w:color w:val="auto"/>
              </w:rPr>
              <w:t>17 October 2012</w:t>
            </w:r>
          </w:p>
        </w:tc>
        <w:tc>
          <w:tcPr>
            <w:tcW w:w="726" w:type="pct"/>
          </w:tcPr>
          <w:p w14:paraId="1EAC6C5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7C5619B"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726" w:type="pct"/>
          </w:tcPr>
          <w:p w14:paraId="4A3E57E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r w:rsidRPr="00490DCE">
              <w:rPr>
                <w:rStyle w:val="super"/>
                <w:rFonts w:cs="Arial"/>
                <w:color w:val="auto"/>
              </w:rPr>
              <w:t>a</w:t>
            </w:r>
          </w:p>
        </w:tc>
      </w:tr>
    </w:tbl>
    <w:p w14:paraId="30C68BDF" w14:textId="77777777" w:rsidR="000A5CFA" w:rsidRPr="00490DCE" w:rsidRDefault="000A5CFA">
      <w:pPr>
        <w:pStyle w:val="body"/>
        <w:rPr>
          <w:rFonts w:ascii="Arial" w:hAnsi="Arial" w:cs="Arial"/>
          <w:color w:val="auto"/>
          <w:sz w:val="16"/>
          <w:szCs w:val="16"/>
          <w:lang w:val="en-AU"/>
        </w:rPr>
      </w:pPr>
    </w:p>
    <w:p w14:paraId="4BF0B397" w14:textId="77777777" w:rsidR="000A5CFA" w:rsidRPr="00490DCE" w:rsidRDefault="000A5CFA" w:rsidP="00146AC9">
      <w:pPr>
        <w:pStyle w:val="footnote"/>
        <w:rPr>
          <w:rFonts w:cs="Arial"/>
          <w:color w:val="auto"/>
        </w:rPr>
      </w:pPr>
      <w:proofErr w:type="gramStart"/>
      <w:r w:rsidRPr="00490DCE">
        <w:rPr>
          <w:rStyle w:val="super"/>
          <w:rFonts w:cs="Arial"/>
          <w:color w:val="auto"/>
        </w:rPr>
        <w:t>a</w:t>
      </w:r>
      <w:proofErr w:type="gramEnd"/>
      <w:r w:rsidRPr="00490DCE">
        <w:rPr>
          <w:rFonts w:cs="Arial"/>
          <w:color w:val="auto"/>
        </w:rPr>
        <w:t xml:space="preserve"> As the Electronic Conveyancing National Law decision RIS was not assessed as adequate prior to the tabling of the electronic conveyancing model law in New South Wales Parliament, the OBPR assessed the proposal as being non-compliant with the COAG best practice regulation requirements. However, a decision RIS was redrafted and assessed as adequate after the tabling of the model law relating to electronic conveyancing and was consequently published in the interest of transparency.</w:t>
      </w:r>
    </w:p>
    <w:p w14:paraId="6C268FEE" w14:textId="77777777" w:rsidR="000A5CFA" w:rsidRPr="00490DCE" w:rsidRDefault="000A5CFA">
      <w:pPr>
        <w:pStyle w:val="tabletitle"/>
        <w:rPr>
          <w:rFonts w:cs="Arial"/>
        </w:rPr>
      </w:pPr>
      <w:r w:rsidRPr="00490DCE">
        <w:rPr>
          <w:rFonts w:cs="Arial"/>
        </w:rPr>
        <w:t>4.2.5 Council of Australian Governments</w:t>
      </w:r>
    </w:p>
    <w:tbl>
      <w:tblPr>
        <w:tblStyle w:val="LightList"/>
        <w:tblW w:w="5000" w:type="pct"/>
        <w:tblLook w:val="0020" w:firstRow="1" w:lastRow="0" w:firstColumn="0" w:lastColumn="0" w:noHBand="0" w:noVBand="0"/>
        <w:tblDescription w:val="Detailed Compliance with Council of Australian Governments RIS requirements during 2012-13 - Council of Australian Governments"/>
      </w:tblPr>
      <w:tblGrid>
        <w:gridCol w:w="697"/>
        <w:gridCol w:w="3559"/>
        <w:gridCol w:w="1298"/>
        <w:gridCol w:w="1430"/>
        <w:gridCol w:w="1430"/>
        <w:gridCol w:w="1434"/>
      </w:tblGrid>
      <w:tr w:rsidR="000A5CFA" w:rsidRPr="00490DCE" w14:paraId="43E162DC"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1E6C82C4"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1351AEA"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389A5A9A"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1807" w:type="pct"/>
          </w:tcPr>
          <w:p w14:paraId="1492A721"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59226704"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17D6EFFA"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2BC11666"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298512F5"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1AC68270"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1D568204"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National Disability Insurance Scheme</w:t>
            </w:r>
          </w:p>
        </w:tc>
      </w:tr>
      <w:tr w:rsidR="000A5CFA" w:rsidRPr="00490DCE" w14:paraId="4D35E949"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C86B1E4"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663624D"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Introduction of a National Disability Insurance Scheme.</w:t>
            </w:r>
          </w:p>
        </w:tc>
        <w:tc>
          <w:tcPr>
            <w:cnfStyle w:val="000010000000" w:firstRow="0" w:lastRow="0" w:firstColumn="0" w:lastColumn="0" w:oddVBand="1" w:evenVBand="0" w:oddHBand="0" w:evenHBand="0" w:firstRowFirstColumn="0" w:firstRowLastColumn="0" w:lastRowFirstColumn="0" w:lastRowLastColumn="0"/>
            <w:tcW w:w="659" w:type="pct"/>
          </w:tcPr>
          <w:p w14:paraId="0DBF0216"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73BFBED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1E09F8F5"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7FA08C5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2843682B" w14:textId="77777777" w:rsidR="000A5CFA" w:rsidRPr="00490DCE" w:rsidRDefault="000A5CFA">
      <w:pPr>
        <w:pStyle w:val="body"/>
        <w:rPr>
          <w:rFonts w:ascii="Arial" w:hAnsi="Arial" w:cs="Arial"/>
          <w:color w:val="auto"/>
          <w:sz w:val="16"/>
          <w:szCs w:val="16"/>
          <w:lang w:val="en-AU"/>
        </w:rPr>
      </w:pPr>
    </w:p>
    <w:p w14:paraId="3CFFFA82" w14:textId="77777777" w:rsidR="000A5CFA" w:rsidRPr="00490DCE" w:rsidRDefault="000A5CFA">
      <w:pPr>
        <w:pStyle w:val="note"/>
        <w:rPr>
          <w:rStyle w:val="italic"/>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433A329B" w14:textId="77777777" w:rsidR="000A5CFA" w:rsidRPr="00490DCE" w:rsidRDefault="000A5CFA">
      <w:pPr>
        <w:pStyle w:val="tabletitle"/>
        <w:rPr>
          <w:rFonts w:cs="Arial"/>
          <w:lang w:val="en-US"/>
        </w:rPr>
      </w:pPr>
      <w:r w:rsidRPr="00490DCE">
        <w:rPr>
          <w:rFonts w:cs="Arial"/>
        </w:rPr>
        <w:t>4.2.6 Food Standards Australia New Zealand</w:t>
      </w:r>
    </w:p>
    <w:tbl>
      <w:tblPr>
        <w:tblStyle w:val="LightList"/>
        <w:tblW w:w="5000" w:type="pct"/>
        <w:tblLook w:val="0020" w:firstRow="1" w:lastRow="0" w:firstColumn="0" w:lastColumn="0" w:noHBand="0" w:noVBand="0"/>
        <w:tblDescription w:val="Detailed Compliance with Council of Australian Governments RIS requirements during 2012-13 - Food Standards Australia New Zealand"/>
      </w:tblPr>
      <w:tblGrid>
        <w:gridCol w:w="699"/>
        <w:gridCol w:w="3561"/>
        <w:gridCol w:w="1300"/>
        <w:gridCol w:w="1432"/>
        <w:gridCol w:w="1432"/>
        <w:gridCol w:w="1424"/>
      </w:tblGrid>
      <w:tr w:rsidR="000A5CFA" w:rsidRPr="00490DCE" w14:paraId="5E5F7962"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2AB434EF"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5E698130"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5" w:type="pct"/>
          </w:tcPr>
          <w:p w14:paraId="0FC08629"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1808" w:type="pct"/>
          </w:tcPr>
          <w:p w14:paraId="67E79966"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60" w:type="pct"/>
          </w:tcPr>
          <w:p w14:paraId="3AF4DB56"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7" w:type="pct"/>
          </w:tcPr>
          <w:p w14:paraId="5E8F40B1"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7" w:type="pct"/>
          </w:tcPr>
          <w:p w14:paraId="38B1A6F6"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4" w:type="pct"/>
          </w:tcPr>
          <w:p w14:paraId="125EEAFC"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327316AB"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108DFEC2"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Country of Origin Labelling for Unpackaged Meat</w:t>
            </w:r>
          </w:p>
        </w:tc>
      </w:tr>
      <w:tr w:rsidR="000A5CFA" w:rsidRPr="00490DCE" w14:paraId="79D20C6C"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5" w:type="pct"/>
          </w:tcPr>
          <w:p w14:paraId="04396ED3" w14:textId="77777777" w:rsidR="000A5CFA" w:rsidRPr="00490DCE" w:rsidRDefault="000A5CFA">
            <w:pPr>
              <w:pStyle w:val="NoParagraphStyle"/>
              <w:spacing w:line="240" w:lineRule="auto"/>
              <w:textAlignment w:val="auto"/>
              <w:rPr>
                <w:rFonts w:ascii="Arial" w:hAnsi="Arial" w:cs="Arial"/>
                <w:color w:val="auto"/>
                <w:lang w:val="en-US"/>
              </w:rPr>
            </w:pPr>
          </w:p>
        </w:tc>
        <w:tc>
          <w:tcPr>
            <w:tcW w:w="1808" w:type="pct"/>
          </w:tcPr>
          <w:p w14:paraId="2A5D39D2"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Requires the country of origin to be labelled on unpackaged meat.</w:t>
            </w:r>
          </w:p>
        </w:tc>
        <w:tc>
          <w:tcPr>
            <w:cnfStyle w:val="000010000000" w:firstRow="0" w:lastRow="0" w:firstColumn="0" w:lastColumn="0" w:oddVBand="1" w:evenVBand="0" w:oddHBand="0" w:evenHBand="0" w:firstRowFirstColumn="0" w:firstRowLastColumn="0" w:lastRowFirstColumn="0" w:lastRowLastColumn="0"/>
            <w:tcW w:w="660" w:type="pct"/>
          </w:tcPr>
          <w:p w14:paraId="557FE45C" w14:textId="77777777" w:rsidR="000A5CFA" w:rsidRPr="00490DCE" w:rsidRDefault="000A5CFA">
            <w:pPr>
              <w:pStyle w:val="body"/>
              <w:jc w:val="center"/>
              <w:rPr>
                <w:rFonts w:ascii="Arial" w:hAnsi="Arial" w:cs="Arial"/>
                <w:color w:val="auto"/>
              </w:rPr>
            </w:pPr>
            <w:r w:rsidRPr="00490DCE">
              <w:rPr>
                <w:rFonts w:ascii="Arial" w:hAnsi="Arial" w:cs="Arial"/>
                <w:color w:val="auto"/>
              </w:rPr>
              <w:t>7 December 2012</w:t>
            </w:r>
          </w:p>
        </w:tc>
        <w:tc>
          <w:tcPr>
            <w:tcW w:w="727" w:type="pct"/>
          </w:tcPr>
          <w:p w14:paraId="26688AA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7" w:type="pct"/>
          </w:tcPr>
          <w:p w14:paraId="139C958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4" w:type="pct"/>
          </w:tcPr>
          <w:p w14:paraId="7920C92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r w:rsidR="000A5CFA" w:rsidRPr="00490DCE" w14:paraId="75AA22BE"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0A33860C"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Food Nutrition, Health and Related Claims</w:t>
            </w:r>
          </w:p>
        </w:tc>
      </w:tr>
      <w:tr w:rsidR="000A5CFA" w:rsidRPr="00490DCE" w14:paraId="56A69199"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5" w:type="pct"/>
          </w:tcPr>
          <w:p w14:paraId="1B03CF8F" w14:textId="77777777" w:rsidR="000A5CFA" w:rsidRPr="00490DCE" w:rsidRDefault="000A5CFA">
            <w:pPr>
              <w:pStyle w:val="NoParagraphStyle"/>
              <w:spacing w:line="240" w:lineRule="auto"/>
              <w:textAlignment w:val="auto"/>
              <w:rPr>
                <w:rFonts w:ascii="Arial" w:hAnsi="Arial" w:cs="Arial"/>
                <w:color w:val="auto"/>
                <w:lang w:val="en-US"/>
              </w:rPr>
            </w:pPr>
          </w:p>
        </w:tc>
        <w:tc>
          <w:tcPr>
            <w:tcW w:w="1808" w:type="pct"/>
          </w:tcPr>
          <w:p w14:paraId="7C3E503A"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Regulation of Food Nutrition, Health and Related Claims.</w:t>
            </w:r>
          </w:p>
        </w:tc>
        <w:tc>
          <w:tcPr>
            <w:cnfStyle w:val="000010000000" w:firstRow="0" w:lastRow="0" w:firstColumn="0" w:lastColumn="0" w:oddVBand="1" w:evenVBand="0" w:oddHBand="0" w:evenHBand="0" w:firstRowFirstColumn="0" w:firstRowLastColumn="0" w:lastRowFirstColumn="0" w:lastRowLastColumn="0"/>
            <w:tcW w:w="660" w:type="pct"/>
          </w:tcPr>
          <w:p w14:paraId="7D98B282" w14:textId="77777777" w:rsidR="000A5CFA" w:rsidRPr="00490DCE" w:rsidRDefault="000A5CFA">
            <w:pPr>
              <w:pStyle w:val="body"/>
              <w:jc w:val="center"/>
              <w:rPr>
                <w:rFonts w:ascii="Arial" w:hAnsi="Arial" w:cs="Arial"/>
                <w:color w:val="auto"/>
              </w:rPr>
            </w:pPr>
            <w:r w:rsidRPr="00490DCE">
              <w:rPr>
                <w:rFonts w:ascii="Arial" w:hAnsi="Arial" w:cs="Arial"/>
                <w:color w:val="auto"/>
              </w:rPr>
              <w:t>7 December 2012</w:t>
            </w:r>
          </w:p>
        </w:tc>
        <w:tc>
          <w:tcPr>
            <w:tcW w:w="727" w:type="pct"/>
          </w:tcPr>
          <w:p w14:paraId="660525B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7" w:type="pct"/>
          </w:tcPr>
          <w:p w14:paraId="6E853E30"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4" w:type="pct"/>
          </w:tcPr>
          <w:p w14:paraId="08AFADA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4F2C8CEC" w14:textId="77777777" w:rsidR="000A5CFA" w:rsidRPr="00490DCE" w:rsidRDefault="000A5CFA">
      <w:pPr>
        <w:pStyle w:val="body"/>
        <w:rPr>
          <w:rFonts w:ascii="Arial" w:hAnsi="Arial" w:cs="Arial"/>
          <w:color w:val="auto"/>
          <w:sz w:val="22"/>
          <w:szCs w:val="22"/>
          <w:lang w:val="en-US"/>
        </w:rPr>
      </w:pPr>
    </w:p>
    <w:p w14:paraId="7B271A9D" w14:textId="77777777" w:rsidR="000A5CFA" w:rsidRPr="00490DCE" w:rsidRDefault="000A5CFA">
      <w:pPr>
        <w:pStyle w:val="tabletitle"/>
        <w:rPr>
          <w:rFonts w:cs="Arial"/>
          <w:lang w:val="en-US"/>
        </w:rPr>
      </w:pPr>
      <w:r w:rsidRPr="00490DCE">
        <w:rPr>
          <w:rFonts w:cs="Arial"/>
        </w:rPr>
        <w:t>4.2.7 Legislative and Governance Forum on Consumer Affairs</w:t>
      </w:r>
    </w:p>
    <w:tbl>
      <w:tblPr>
        <w:tblStyle w:val="LightList"/>
        <w:tblW w:w="5000" w:type="pct"/>
        <w:tblLook w:val="0020" w:firstRow="1" w:lastRow="0" w:firstColumn="0" w:lastColumn="0" w:noHBand="0" w:noVBand="0"/>
        <w:tblDescription w:val="Detailed Compliance with Council of Australian Governments RIS requirements during 2012-13 - Legislative and Governance Forum on Consumer Affairs"/>
      </w:tblPr>
      <w:tblGrid>
        <w:gridCol w:w="697"/>
        <w:gridCol w:w="3559"/>
        <w:gridCol w:w="1298"/>
        <w:gridCol w:w="1430"/>
        <w:gridCol w:w="1430"/>
        <w:gridCol w:w="1434"/>
      </w:tblGrid>
      <w:tr w:rsidR="000A5CFA" w:rsidRPr="00490DCE" w14:paraId="587E5403"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2634F3EB"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7B70F09"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0169E889"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570A8365"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495F994D"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7388FB95"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69287072"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4F6EC637"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5157094F"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74C8AB0D"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Consumers and Fuel Price Boards</w:t>
            </w:r>
          </w:p>
        </w:tc>
      </w:tr>
      <w:tr w:rsidR="000A5CFA" w:rsidRPr="00490DCE" w14:paraId="1B5E81E6"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130CF1A5"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29F0787"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To propose new national laws regulating the display of information on fuel price boards.</w:t>
            </w:r>
          </w:p>
        </w:tc>
        <w:tc>
          <w:tcPr>
            <w:cnfStyle w:val="000010000000" w:firstRow="0" w:lastRow="0" w:firstColumn="0" w:lastColumn="0" w:oddVBand="1" w:evenVBand="0" w:oddHBand="0" w:evenHBand="0" w:firstRowFirstColumn="0" w:firstRowLastColumn="0" w:lastRowFirstColumn="0" w:lastRowLastColumn="0"/>
            <w:tcW w:w="659" w:type="pct"/>
          </w:tcPr>
          <w:p w14:paraId="59F0B5E9"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27F8CD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24A6B0B"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2BF9708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13AA1765" w14:textId="77777777" w:rsidR="000A5CFA" w:rsidRPr="00490DCE" w:rsidRDefault="000A5CFA">
      <w:pPr>
        <w:pStyle w:val="body"/>
        <w:rPr>
          <w:rFonts w:ascii="Arial" w:hAnsi="Arial" w:cs="Arial"/>
          <w:color w:val="auto"/>
          <w:sz w:val="16"/>
          <w:szCs w:val="16"/>
          <w:lang w:val="en-AU"/>
        </w:rPr>
      </w:pPr>
    </w:p>
    <w:p w14:paraId="7F503210" w14:textId="77777777" w:rsidR="000A5CFA" w:rsidRPr="00490DCE" w:rsidRDefault="000A5CFA">
      <w:pPr>
        <w:pStyle w:val="note"/>
        <w:rPr>
          <w:rStyle w:val="italic"/>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429D8EBE" w14:textId="77777777" w:rsidR="000A5CFA" w:rsidRPr="00490DCE" w:rsidRDefault="000A5CFA">
      <w:pPr>
        <w:pStyle w:val="tabletitle"/>
        <w:rPr>
          <w:rFonts w:cs="Arial"/>
          <w:lang w:val="en-US"/>
        </w:rPr>
      </w:pPr>
      <w:r w:rsidRPr="00490DCE">
        <w:rPr>
          <w:rFonts w:cs="Arial"/>
        </w:rPr>
        <w:lastRenderedPageBreak/>
        <w:t>4.2.8 Legislative and Governance Forum on Food Regulation</w:t>
      </w:r>
    </w:p>
    <w:tbl>
      <w:tblPr>
        <w:tblStyle w:val="LightList"/>
        <w:tblW w:w="5000" w:type="pct"/>
        <w:tblLook w:val="0020" w:firstRow="1" w:lastRow="0" w:firstColumn="0" w:lastColumn="0" w:noHBand="0" w:noVBand="0"/>
        <w:tblDescription w:val="Detailed Compliance with Council of Australian Governments RIS requirements during 2012-13 - Legislative and Governance Forum on Food Regulation"/>
      </w:tblPr>
      <w:tblGrid>
        <w:gridCol w:w="697"/>
        <w:gridCol w:w="3559"/>
        <w:gridCol w:w="1298"/>
        <w:gridCol w:w="1430"/>
        <w:gridCol w:w="1430"/>
        <w:gridCol w:w="1434"/>
      </w:tblGrid>
      <w:tr w:rsidR="000A5CFA" w:rsidRPr="00490DCE" w14:paraId="2B324B9E"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3179DD79"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8DD3E25"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438BAC03"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6052D118"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642C7609"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18B91BD3"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106D3E5A"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49FDCE39"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5768BB8C"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4AA5D853" w14:textId="77777777" w:rsidR="000A5CFA" w:rsidRPr="00622A71" w:rsidRDefault="000A5CFA">
            <w:pPr>
              <w:pStyle w:val="body"/>
              <w:rPr>
                <w:rFonts w:ascii="Arial" w:hAnsi="Arial" w:cs="Arial"/>
                <w:b/>
                <w:i/>
                <w:color w:val="auto"/>
              </w:rPr>
            </w:pPr>
            <w:r w:rsidRPr="00622A71">
              <w:rPr>
                <w:rStyle w:val="bold"/>
                <w:rFonts w:ascii="Arial" w:hAnsi="Arial" w:cs="Arial"/>
                <w:b/>
                <w:i/>
                <w:color w:val="auto"/>
              </w:rPr>
              <w:t>Front-of-Pack Nutrition Labelling</w:t>
            </w:r>
          </w:p>
        </w:tc>
      </w:tr>
      <w:tr w:rsidR="000A5CFA" w:rsidRPr="00490DCE" w14:paraId="55BFC200"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67EFCA11"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527D0B4"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spacing w:val="-4"/>
              </w:rPr>
              <w:t>Decision to implement a front-of-pack labelling system for Australia.</w:t>
            </w:r>
          </w:p>
        </w:tc>
        <w:tc>
          <w:tcPr>
            <w:cnfStyle w:val="000010000000" w:firstRow="0" w:lastRow="0" w:firstColumn="0" w:lastColumn="0" w:oddVBand="1" w:evenVBand="0" w:oddHBand="0" w:evenHBand="0" w:firstRowFirstColumn="0" w:firstRowLastColumn="0" w:lastRowFirstColumn="0" w:lastRowLastColumn="0"/>
            <w:tcW w:w="659" w:type="pct"/>
          </w:tcPr>
          <w:p w14:paraId="137E8420" w14:textId="77777777" w:rsidR="000A5CFA" w:rsidRPr="00490DCE" w:rsidRDefault="000A5CFA">
            <w:pPr>
              <w:pStyle w:val="body"/>
              <w:jc w:val="center"/>
              <w:rPr>
                <w:rFonts w:ascii="Arial" w:hAnsi="Arial" w:cs="Arial"/>
                <w:color w:val="auto"/>
              </w:rPr>
            </w:pPr>
            <w:r w:rsidRPr="00490DCE">
              <w:rPr>
                <w:rFonts w:ascii="Arial" w:hAnsi="Arial" w:cs="Arial"/>
                <w:color w:val="auto"/>
              </w:rPr>
              <w:t>14 June 2013</w:t>
            </w:r>
          </w:p>
        </w:tc>
        <w:tc>
          <w:tcPr>
            <w:tcW w:w="726" w:type="pct"/>
          </w:tcPr>
          <w:p w14:paraId="779F877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c>
          <w:tcPr>
            <w:cnfStyle w:val="000010000000" w:firstRow="0" w:lastRow="0" w:firstColumn="0" w:lastColumn="0" w:oddVBand="1" w:evenVBand="0" w:oddHBand="0" w:evenHBand="0" w:firstRowFirstColumn="0" w:firstRowLastColumn="0" w:lastRowFirstColumn="0" w:lastRowLastColumn="0"/>
            <w:tcW w:w="726" w:type="pct"/>
          </w:tcPr>
          <w:p w14:paraId="3E1D5AF1" w14:textId="77777777" w:rsidR="000A5CFA" w:rsidRPr="00490DCE" w:rsidRDefault="000A5CFA">
            <w:pPr>
              <w:pStyle w:val="body"/>
              <w:jc w:val="center"/>
              <w:rPr>
                <w:rFonts w:ascii="Arial" w:hAnsi="Arial" w:cs="Arial"/>
                <w:color w:val="auto"/>
              </w:rPr>
            </w:pPr>
            <w:r w:rsidRPr="00490DCE">
              <w:rPr>
                <w:rFonts w:ascii="Arial" w:hAnsi="Arial" w:cs="Arial"/>
                <w:color w:val="auto"/>
              </w:rPr>
              <w:t>No</w:t>
            </w:r>
          </w:p>
        </w:tc>
        <w:tc>
          <w:tcPr>
            <w:tcW w:w="726" w:type="pct"/>
          </w:tcPr>
          <w:p w14:paraId="0736A0B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w:t>
            </w:r>
          </w:p>
        </w:tc>
      </w:tr>
    </w:tbl>
    <w:p w14:paraId="38826513" w14:textId="77777777" w:rsidR="000A5CFA" w:rsidRPr="00490DCE" w:rsidRDefault="000A5CFA">
      <w:pPr>
        <w:pStyle w:val="body"/>
        <w:rPr>
          <w:rFonts w:ascii="Arial" w:hAnsi="Arial" w:cs="Arial"/>
          <w:color w:val="auto"/>
          <w:sz w:val="22"/>
          <w:szCs w:val="22"/>
          <w:lang w:val="en-US"/>
        </w:rPr>
      </w:pPr>
    </w:p>
    <w:p w14:paraId="7D6C5307" w14:textId="77777777" w:rsidR="000A5CFA" w:rsidRPr="00490DCE" w:rsidRDefault="000A5CFA">
      <w:pPr>
        <w:pStyle w:val="tabletitle"/>
        <w:rPr>
          <w:rFonts w:cs="Arial"/>
        </w:rPr>
      </w:pPr>
      <w:r w:rsidRPr="00490DCE">
        <w:rPr>
          <w:rFonts w:cs="Arial"/>
        </w:rPr>
        <w:t>4.2.9 National Environment Protection Council</w:t>
      </w:r>
      <w:r w:rsidRPr="00490DCE">
        <w:rPr>
          <w:rStyle w:val="super"/>
          <w:rFonts w:cs="Arial"/>
        </w:rPr>
        <w:t>a</w:t>
      </w:r>
    </w:p>
    <w:tbl>
      <w:tblPr>
        <w:tblStyle w:val="LightList"/>
        <w:tblW w:w="5000" w:type="pct"/>
        <w:tblLook w:val="0020" w:firstRow="1" w:lastRow="0" w:firstColumn="0" w:lastColumn="0" w:noHBand="0" w:noVBand="0"/>
        <w:tblDescription w:val="Detailed Compliance with Council of Australian Governments RIS requirements during 2012-13 - National Environment Protection Council"/>
      </w:tblPr>
      <w:tblGrid>
        <w:gridCol w:w="697"/>
        <w:gridCol w:w="3559"/>
        <w:gridCol w:w="1298"/>
        <w:gridCol w:w="1430"/>
        <w:gridCol w:w="1430"/>
        <w:gridCol w:w="1434"/>
      </w:tblGrid>
      <w:tr w:rsidR="000A5CFA" w:rsidRPr="00490DCE" w14:paraId="66FDE582"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3FBA3E89"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B86675B"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355AA0F7"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70DDFD6B"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0F4FDBF9"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05B69ABB"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495A9F0C"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34946228"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3246AE8A"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2E37EB32" w14:textId="77777777" w:rsidR="000A5CFA" w:rsidRPr="00622A71" w:rsidRDefault="000A5CFA">
            <w:pPr>
              <w:pStyle w:val="body"/>
              <w:rPr>
                <w:rFonts w:ascii="Arial" w:hAnsi="Arial" w:cs="Arial"/>
                <w:b/>
                <w:i/>
                <w:color w:val="auto"/>
              </w:rPr>
            </w:pPr>
            <w:r w:rsidRPr="00622A71">
              <w:rPr>
                <w:rStyle w:val="bold"/>
                <w:rFonts w:ascii="Arial" w:hAnsi="Arial" w:cs="Arial"/>
                <w:b/>
                <w:i/>
                <w:color w:val="auto"/>
                <w:spacing w:val="-4"/>
              </w:rPr>
              <w:t>Amendment of the National Environment Protection (Assessment of Site Contamination) Measure</w:t>
            </w:r>
          </w:p>
        </w:tc>
      </w:tr>
      <w:tr w:rsidR="000A5CFA" w:rsidRPr="00490DCE" w14:paraId="3057FEF6"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5CA2A1A6"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6203C03"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spacing w:val="-2"/>
              </w:rPr>
              <w:t>Assesses proposed amendment of NEPM to update site assessment methodologies for assessing human and ecological risks.</w:t>
            </w:r>
          </w:p>
        </w:tc>
        <w:tc>
          <w:tcPr>
            <w:cnfStyle w:val="000010000000" w:firstRow="0" w:lastRow="0" w:firstColumn="0" w:lastColumn="0" w:oddVBand="1" w:evenVBand="0" w:oddHBand="0" w:evenHBand="0" w:firstRowFirstColumn="0" w:firstRowLastColumn="0" w:lastRowFirstColumn="0" w:lastRowLastColumn="0"/>
            <w:tcW w:w="659" w:type="pct"/>
          </w:tcPr>
          <w:p w14:paraId="7DAB2FB4" w14:textId="77777777" w:rsidR="000A5CFA" w:rsidRPr="00490DCE" w:rsidRDefault="000A5CFA">
            <w:pPr>
              <w:pStyle w:val="body"/>
              <w:jc w:val="center"/>
              <w:rPr>
                <w:rFonts w:ascii="Arial" w:hAnsi="Arial" w:cs="Arial"/>
                <w:color w:val="auto"/>
              </w:rPr>
            </w:pPr>
            <w:r w:rsidRPr="00490DCE">
              <w:rPr>
                <w:rStyle w:val="bold"/>
                <w:rFonts w:ascii="Arial" w:hAnsi="Arial" w:cs="Arial"/>
                <w:color w:val="auto"/>
              </w:rPr>
              <w:t>11 April 2013</w:t>
            </w:r>
          </w:p>
        </w:tc>
        <w:tc>
          <w:tcPr>
            <w:tcW w:w="726" w:type="pct"/>
          </w:tcPr>
          <w:p w14:paraId="2B520CD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05C294A8" w14:textId="77777777" w:rsidR="000A5CFA" w:rsidRPr="00490DCE" w:rsidRDefault="000A5CFA">
            <w:pPr>
              <w:pStyle w:val="body"/>
              <w:jc w:val="center"/>
              <w:rPr>
                <w:rFonts w:ascii="Arial" w:hAnsi="Arial" w:cs="Arial"/>
                <w:color w:val="auto"/>
              </w:rPr>
            </w:pPr>
            <w:r w:rsidRPr="00490DCE">
              <w:rPr>
                <w:rStyle w:val="bold"/>
                <w:rFonts w:ascii="Arial" w:hAnsi="Arial" w:cs="Arial"/>
                <w:color w:val="auto"/>
              </w:rPr>
              <w:t>Yes</w:t>
            </w:r>
          </w:p>
        </w:tc>
        <w:tc>
          <w:tcPr>
            <w:tcW w:w="726" w:type="pct"/>
          </w:tcPr>
          <w:p w14:paraId="14CDA5A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Style w:val="bold"/>
                <w:rFonts w:ascii="Arial" w:hAnsi="Arial" w:cs="Arial"/>
                <w:color w:val="auto"/>
              </w:rPr>
              <w:t>Yes</w:t>
            </w:r>
          </w:p>
        </w:tc>
      </w:tr>
    </w:tbl>
    <w:p w14:paraId="3ADCE54E" w14:textId="77777777" w:rsidR="000A5CFA" w:rsidRPr="00490DCE" w:rsidRDefault="000A5CFA">
      <w:pPr>
        <w:pStyle w:val="body"/>
        <w:rPr>
          <w:rFonts w:ascii="Arial" w:hAnsi="Arial" w:cs="Arial"/>
          <w:color w:val="auto"/>
          <w:sz w:val="16"/>
          <w:szCs w:val="16"/>
          <w:lang w:val="en-AU"/>
        </w:rPr>
      </w:pPr>
    </w:p>
    <w:p w14:paraId="4755B52E" w14:textId="77777777" w:rsidR="000A5CFA" w:rsidRPr="00490DCE" w:rsidRDefault="000A5CFA">
      <w:pPr>
        <w:pStyle w:val="note"/>
        <w:rPr>
          <w:rFonts w:cs="Arial"/>
          <w:color w:val="auto"/>
        </w:rPr>
      </w:pPr>
      <w:proofErr w:type="spellStart"/>
      <w:r w:rsidRPr="00490DCE">
        <w:rPr>
          <w:rStyle w:val="super"/>
          <w:rFonts w:cs="Arial"/>
          <w:color w:val="auto"/>
        </w:rPr>
        <w:t>a</w:t>
      </w:r>
      <w:proofErr w:type="spellEnd"/>
      <w:r w:rsidRPr="00490DCE">
        <w:rPr>
          <w:rFonts w:cs="Arial"/>
          <w:color w:val="auto"/>
        </w:rPr>
        <w:t xml:space="preserve"> The function of National Environment Protection Council (NEPC) is to make, then assess and report on the effectiveness and implementation of, National Environment Protection Measures. NEPC meets simultaneously with the Standing Council on Environment and Water and NEPC members are also members of Council.</w:t>
      </w:r>
    </w:p>
    <w:p w14:paraId="3E14895E" w14:textId="77777777" w:rsidR="000A5CFA" w:rsidRPr="00490DCE" w:rsidRDefault="000A5CFA">
      <w:pPr>
        <w:pStyle w:val="tabletitle"/>
        <w:rPr>
          <w:rFonts w:cs="Arial"/>
          <w:lang w:val="en-US"/>
        </w:rPr>
      </w:pPr>
      <w:r w:rsidRPr="00490DCE">
        <w:rPr>
          <w:rFonts w:cs="Arial"/>
          <w:lang w:val="en-US"/>
        </w:rPr>
        <w:t xml:space="preserve">4.2.10 </w:t>
      </w:r>
      <w:r w:rsidRPr="00490DCE">
        <w:rPr>
          <w:rFonts w:cs="Arial"/>
        </w:rPr>
        <w:t>Select Council on Climate Change</w:t>
      </w:r>
    </w:p>
    <w:tbl>
      <w:tblPr>
        <w:tblStyle w:val="LightList"/>
        <w:tblW w:w="5000" w:type="pct"/>
        <w:tblLook w:val="0020" w:firstRow="1" w:lastRow="0" w:firstColumn="0" w:lastColumn="0" w:noHBand="0" w:noVBand="0"/>
        <w:tblDescription w:val="Detailed Compliance with Council of Australian Governments RIS requirements during 2012-13 - Select Council on Climate Change"/>
      </w:tblPr>
      <w:tblGrid>
        <w:gridCol w:w="697"/>
        <w:gridCol w:w="3559"/>
        <w:gridCol w:w="1298"/>
        <w:gridCol w:w="1430"/>
        <w:gridCol w:w="1430"/>
        <w:gridCol w:w="1434"/>
      </w:tblGrid>
      <w:tr w:rsidR="000A5CFA" w:rsidRPr="00490DCE" w14:paraId="0F52FB43"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34E6A4F4"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6F65930"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7D7DEBEA" w14:textId="77777777" w:rsidR="000A5CFA" w:rsidRPr="0033158E" w:rsidRDefault="000A5CFA" w:rsidP="00EF0601">
            <w:pPr>
              <w:pStyle w:val="NoParagraphStyle"/>
              <w:spacing w:line="240" w:lineRule="auto"/>
              <w:textAlignment w:val="auto"/>
              <w:outlineLvl w:val="3"/>
              <w:rPr>
                <w:rFonts w:ascii="Arial" w:hAnsi="Arial" w:cs="Arial"/>
                <w:b w:val="0"/>
                <w:color w:val="auto"/>
                <w:lang w:val="en-US"/>
              </w:rPr>
            </w:pPr>
          </w:p>
        </w:tc>
        <w:tc>
          <w:tcPr>
            <w:tcW w:w="1807" w:type="pct"/>
          </w:tcPr>
          <w:p w14:paraId="62D06126"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6F2BD36E"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Date of Decision</w:t>
            </w:r>
          </w:p>
        </w:tc>
        <w:tc>
          <w:tcPr>
            <w:tcW w:w="726" w:type="pct"/>
          </w:tcPr>
          <w:p w14:paraId="7F5B20FD"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660D77D4" w14:textId="77777777" w:rsidR="000A5CFA" w:rsidRPr="0033158E" w:rsidRDefault="000A5CFA" w:rsidP="00EF0601">
            <w:pPr>
              <w:pStyle w:val="tablehead"/>
              <w:jc w:val="center"/>
              <w:outlineLvl w:val="3"/>
              <w:rPr>
                <w:rFonts w:ascii="Arial" w:hAnsi="Arial" w:cs="Arial"/>
                <w:b w:val="0"/>
                <w:color w:val="auto"/>
              </w:rPr>
            </w:pPr>
            <w:r w:rsidRPr="0033158E">
              <w:rPr>
                <w:rFonts w:ascii="Arial" w:hAnsi="Arial" w:cs="Arial"/>
                <w:b w:val="0"/>
                <w:color w:val="auto"/>
              </w:rPr>
              <w:t>Compliant at Decision</w:t>
            </w:r>
          </w:p>
        </w:tc>
        <w:tc>
          <w:tcPr>
            <w:tcW w:w="726" w:type="pct"/>
          </w:tcPr>
          <w:p w14:paraId="2DBAEBD7"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Final RIS Published</w:t>
            </w:r>
          </w:p>
        </w:tc>
      </w:tr>
      <w:tr w:rsidR="000A5CFA" w:rsidRPr="00490DCE" w14:paraId="2012C59E"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63C88E95" w14:textId="77777777" w:rsidR="000A5CFA" w:rsidRPr="00622A71" w:rsidRDefault="000A5CFA">
            <w:pPr>
              <w:pStyle w:val="body"/>
              <w:rPr>
                <w:rFonts w:ascii="Arial" w:hAnsi="Arial" w:cs="Arial"/>
                <w:b/>
                <w:i/>
                <w:color w:val="auto"/>
              </w:rPr>
            </w:pPr>
            <w:r w:rsidRPr="00622A71">
              <w:rPr>
                <w:rStyle w:val="bold"/>
                <w:rFonts w:ascii="Arial" w:hAnsi="Arial" w:cs="Arial"/>
                <w:b/>
                <w:i/>
                <w:color w:val="auto"/>
                <w:spacing w:val="-2"/>
              </w:rPr>
              <w:t>Proposed Minimum Energy Performance Standards and Energy Labelling for Computer Monitors</w:t>
            </w:r>
          </w:p>
        </w:tc>
      </w:tr>
      <w:tr w:rsidR="000A5CFA" w:rsidRPr="00490DCE" w14:paraId="6D4CA50E"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0B340FED"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7539C2F" w14:textId="5B45B2D4" w:rsidR="000A5CFA" w:rsidRPr="003E6887" w:rsidRDefault="000A5CFA" w:rsidP="003E6887">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 xml:space="preserve">Introduces minimum energy performance standards for computers and computer </w:t>
            </w:r>
            <w:r w:rsidRPr="003E6887">
              <w:rPr>
                <w:rStyle w:val="italic"/>
                <w:rFonts w:ascii="Arial" w:hAnsi="Arial" w:cs="Arial"/>
                <w:i/>
                <w:color w:val="auto"/>
              </w:rPr>
              <w:br/>
              <w:t>monitors and energy labelling for computer monitors.</w:t>
            </w:r>
          </w:p>
        </w:tc>
        <w:tc>
          <w:tcPr>
            <w:cnfStyle w:val="000010000000" w:firstRow="0" w:lastRow="0" w:firstColumn="0" w:lastColumn="0" w:oddVBand="1" w:evenVBand="0" w:oddHBand="0" w:evenHBand="0" w:firstRowFirstColumn="0" w:firstRowLastColumn="0" w:lastRowFirstColumn="0" w:lastRowLastColumn="0"/>
            <w:tcW w:w="659" w:type="pct"/>
          </w:tcPr>
          <w:p w14:paraId="0D9BB3E8" w14:textId="77777777" w:rsidR="000A5CFA" w:rsidRPr="00490DCE" w:rsidRDefault="000A5CFA">
            <w:pPr>
              <w:pStyle w:val="body"/>
              <w:jc w:val="center"/>
              <w:rPr>
                <w:rFonts w:ascii="Arial" w:hAnsi="Arial" w:cs="Arial"/>
                <w:color w:val="auto"/>
              </w:rPr>
            </w:pPr>
            <w:r w:rsidRPr="00490DCE">
              <w:rPr>
                <w:rFonts w:ascii="Arial" w:hAnsi="Arial" w:cs="Arial"/>
                <w:color w:val="auto"/>
              </w:rPr>
              <w:t>22 March 2013</w:t>
            </w:r>
          </w:p>
        </w:tc>
        <w:tc>
          <w:tcPr>
            <w:tcW w:w="726" w:type="pct"/>
          </w:tcPr>
          <w:p w14:paraId="2951964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39FF418A"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10822ED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r w:rsidR="000A5CFA" w:rsidRPr="00490DCE" w14:paraId="2E2ED74E"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06502F2" w14:textId="77777777" w:rsidR="000A5CFA" w:rsidRPr="00622A71" w:rsidRDefault="000A5CFA" w:rsidP="00146AC9">
            <w:pPr>
              <w:pStyle w:val="body"/>
              <w:rPr>
                <w:rFonts w:ascii="Arial" w:hAnsi="Arial" w:cs="Arial"/>
                <w:b/>
                <w:i/>
                <w:color w:val="auto"/>
              </w:rPr>
            </w:pPr>
            <w:r w:rsidRPr="00622A71">
              <w:rPr>
                <w:rStyle w:val="bold"/>
                <w:rFonts w:ascii="Arial" w:hAnsi="Arial" w:cs="Arial"/>
                <w:b/>
                <w:i/>
                <w:color w:val="auto"/>
              </w:rPr>
              <w:t>Mandating ‘Smart Appliance’ Interfaces for Air Conditioners, Water Heaters and Other Appliances</w:t>
            </w:r>
          </w:p>
        </w:tc>
      </w:tr>
      <w:tr w:rsidR="000A5CFA" w:rsidRPr="00490DCE" w14:paraId="1F7E61C7"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5606998F"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563DF510" w14:textId="77777777" w:rsidR="000A5CFA" w:rsidRPr="003E6887"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3E6887">
              <w:rPr>
                <w:rStyle w:val="italic"/>
                <w:rFonts w:ascii="Arial" w:hAnsi="Arial" w:cs="Arial"/>
                <w:i/>
                <w:color w:val="auto"/>
              </w:rPr>
              <w:t>Options to manage peak electricity demand for certain household appliances.</w:t>
            </w:r>
          </w:p>
        </w:tc>
        <w:tc>
          <w:tcPr>
            <w:cnfStyle w:val="000010000000" w:firstRow="0" w:lastRow="0" w:firstColumn="0" w:lastColumn="0" w:oddVBand="1" w:evenVBand="0" w:oddHBand="0" w:evenHBand="0" w:firstRowFirstColumn="0" w:firstRowLastColumn="0" w:lastRowFirstColumn="0" w:lastRowLastColumn="0"/>
            <w:tcW w:w="659" w:type="pct"/>
          </w:tcPr>
          <w:p w14:paraId="21EF5928"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763C0E0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8F3DD3D"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E7B692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4E79C9E3" w14:textId="77777777" w:rsidR="000A5CFA" w:rsidRPr="00490DCE" w:rsidRDefault="000A5CFA">
      <w:pPr>
        <w:pStyle w:val="body"/>
        <w:rPr>
          <w:rFonts w:ascii="Arial" w:hAnsi="Arial" w:cs="Arial"/>
          <w:color w:val="auto"/>
          <w:sz w:val="22"/>
          <w:szCs w:val="22"/>
          <w:lang w:val="en-AU"/>
        </w:rPr>
      </w:pPr>
    </w:p>
    <w:p w14:paraId="3142E4F4" w14:textId="77777777" w:rsidR="000A5CFA" w:rsidRPr="00490DCE" w:rsidRDefault="000A5CFA">
      <w:pPr>
        <w:pStyle w:val="note"/>
        <w:rPr>
          <w:rFonts w:cs="Arial"/>
          <w:color w:val="auto"/>
          <w:lang w:val="en-US"/>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6E563629" w14:textId="77777777" w:rsidR="000A5CFA" w:rsidRPr="00490DCE" w:rsidRDefault="00146AC9">
      <w:pPr>
        <w:pStyle w:val="tabletitle"/>
        <w:rPr>
          <w:rFonts w:cs="Arial"/>
        </w:rPr>
      </w:pPr>
      <w:r w:rsidRPr="00490DCE">
        <w:rPr>
          <w:rFonts w:cs="Arial"/>
        </w:rPr>
        <w:br w:type="page"/>
      </w:r>
      <w:r w:rsidR="000A5CFA" w:rsidRPr="00490DCE">
        <w:rPr>
          <w:rFonts w:cs="Arial"/>
        </w:rPr>
        <w:lastRenderedPageBreak/>
        <w:t>4.2.11 Standing Council on Energy and Resources</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Energy and Resources"/>
      </w:tblPr>
      <w:tblGrid>
        <w:gridCol w:w="697"/>
        <w:gridCol w:w="3559"/>
        <w:gridCol w:w="1298"/>
        <w:gridCol w:w="1430"/>
        <w:gridCol w:w="1430"/>
        <w:gridCol w:w="1434"/>
      </w:tblGrid>
      <w:tr w:rsidR="000A5CFA" w:rsidRPr="00490DCE" w14:paraId="57E980A9"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7C68B4B5"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BB3A30A"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33F9A571"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1807" w:type="pct"/>
          </w:tcPr>
          <w:p w14:paraId="0B4CB5EC"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18EBD85B"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2AD7E8B0"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3806624F"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67F63748"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6059FC2F"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6582A753" w14:textId="77777777" w:rsidR="000A5CFA" w:rsidRPr="00622A71" w:rsidRDefault="000A5CFA">
            <w:pPr>
              <w:pStyle w:val="body"/>
              <w:rPr>
                <w:rFonts w:ascii="Arial" w:hAnsi="Arial" w:cs="Arial"/>
                <w:b/>
                <w:color w:val="auto"/>
              </w:rPr>
            </w:pPr>
            <w:r w:rsidRPr="00622A71">
              <w:rPr>
                <w:rStyle w:val="bold"/>
                <w:rFonts w:ascii="Arial" w:hAnsi="Arial" w:cs="Arial"/>
                <w:b/>
                <w:color w:val="auto"/>
              </w:rPr>
              <w:t>Limited Merits Review of Decision-Making in the Electricity and Gas Regulatory Frameworks</w:t>
            </w:r>
          </w:p>
        </w:tc>
      </w:tr>
      <w:tr w:rsidR="000A5CFA" w:rsidRPr="00490DCE" w14:paraId="76ABE0BA"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772C7987"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03F23D0"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Options to review the appeals process for energy network pricing determinations.</w:t>
            </w:r>
          </w:p>
        </w:tc>
        <w:tc>
          <w:tcPr>
            <w:cnfStyle w:val="000010000000" w:firstRow="0" w:lastRow="0" w:firstColumn="0" w:lastColumn="0" w:oddVBand="1" w:evenVBand="0" w:oddHBand="0" w:evenHBand="0" w:firstRowFirstColumn="0" w:firstRowLastColumn="0" w:lastRowFirstColumn="0" w:lastRowLastColumn="0"/>
            <w:tcW w:w="659" w:type="pct"/>
          </w:tcPr>
          <w:p w14:paraId="114D881B" w14:textId="77777777" w:rsidR="000A5CFA" w:rsidRPr="00490DCE" w:rsidRDefault="000A5CFA">
            <w:pPr>
              <w:pStyle w:val="body"/>
              <w:jc w:val="center"/>
              <w:rPr>
                <w:rFonts w:ascii="Arial" w:hAnsi="Arial" w:cs="Arial"/>
                <w:color w:val="auto"/>
              </w:rPr>
            </w:pPr>
            <w:r w:rsidRPr="00490DCE">
              <w:rPr>
                <w:rFonts w:ascii="Arial" w:hAnsi="Arial" w:cs="Arial"/>
                <w:color w:val="auto"/>
              </w:rPr>
              <w:t>31 May 2013</w:t>
            </w:r>
          </w:p>
        </w:tc>
        <w:tc>
          <w:tcPr>
            <w:tcW w:w="726" w:type="pct"/>
          </w:tcPr>
          <w:p w14:paraId="666B275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37D1DB6E"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08DBE34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r w:rsidR="000A5CFA" w:rsidRPr="00490DCE" w14:paraId="3C3997A0" w14:textId="77777777" w:rsidTr="00146AC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AD94505" w14:textId="77777777" w:rsidR="000A5CFA" w:rsidRPr="00622A71" w:rsidRDefault="000A5CFA">
            <w:pPr>
              <w:pStyle w:val="body"/>
              <w:rPr>
                <w:rFonts w:ascii="Arial" w:hAnsi="Arial" w:cs="Arial"/>
                <w:b/>
                <w:color w:val="auto"/>
              </w:rPr>
            </w:pPr>
            <w:r w:rsidRPr="00622A71">
              <w:rPr>
                <w:rStyle w:val="bold"/>
                <w:rFonts w:ascii="Arial" w:hAnsi="Arial" w:cs="Arial"/>
                <w:b/>
                <w:color w:val="auto"/>
              </w:rPr>
              <w:t>Gas Transmission Pipeline Capacity Trading</w:t>
            </w:r>
          </w:p>
        </w:tc>
      </w:tr>
      <w:tr w:rsidR="000A5CFA" w:rsidRPr="00490DCE" w14:paraId="58C772B8" w14:textId="77777777" w:rsidTr="00146AC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087AA18E"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394828D"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Options to improve utilisation of gas transmission pipeline capacity in the eastern Australian gas market.</w:t>
            </w:r>
          </w:p>
        </w:tc>
        <w:tc>
          <w:tcPr>
            <w:cnfStyle w:val="000010000000" w:firstRow="0" w:lastRow="0" w:firstColumn="0" w:lastColumn="0" w:oddVBand="1" w:evenVBand="0" w:oddHBand="0" w:evenHBand="0" w:firstRowFirstColumn="0" w:firstRowLastColumn="0" w:lastRowFirstColumn="0" w:lastRowLastColumn="0"/>
            <w:tcW w:w="659" w:type="pct"/>
          </w:tcPr>
          <w:p w14:paraId="53613D61"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547C8A2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48CBF04D"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52CE8B6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7688D76E" w14:textId="77777777" w:rsidR="000A5CFA" w:rsidRPr="00490DCE" w:rsidRDefault="000A5CFA">
      <w:pPr>
        <w:pStyle w:val="body"/>
        <w:rPr>
          <w:rFonts w:ascii="Arial" w:hAnsi="Arial" w:cs="Arial"/>
          <w:color w:val="auto"/>
          <w:sz w:val="16"/>
          <w:szCs w:val="16"/>
          <w:lang w:val="en-AU"/>
        </w:rPr>
      </w:pPr>
    </w:p>
    <w:p w14:paraId="7ABD87F3" w14:textId="77777777" w:rsidR="000A5CFA" w:rsidRPr="00490DCE" w:rsidRDefault="000A5CFA">
      <w:pPr>
        <w:pStyle w:val="note"/>
        <w:rPr>
          <w:rStyle w:val="italic"/>
          <w:rFonts w:cs="Arial"/>
          <w:color w:val="auto"/>
          <w:szCs w:val="18"/>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5415722F" w14:textId="77777777" w:rsidR="000A5CFA" w:rsidRPr="00490DCE" w:rsidRDefault="000A5CFA">
      <w:pPr>
        <w:pStyle w:val="tabletitle"/>
        <w:rPr>
          <w:rFonts w:cs="Arial"/>
        </w:rPr>
      </w:pPr>
      <w:r w:rsidRPr="00490DCE">
        <w:rPr>
          <w:rFonts w:cs="Arial"/>
          <w:lang w:val="en-US"/>
        </w:rPr>
        <w:t xml:space="preserve">4.2.12 </w:t>
      </w:r>
      <w:r w:rsidRPr="00490DCE">
        <w:rPr>
          <w:rFonts w:cs="Arial"/>
        </w:rPr>
        <w:t>Standing Council on Environment and Water</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Environment and Water"/>
      </w:tblPr>
      <w:tblGrid>
        <w:gridCol w:w="697"/>
        <w:gridCol w:w="3559"/>
        <w:gridCol w:w="1298"/>
        <w:gridCol w:w="1430"/>
        <w:gridCol w:w="1430"/>
        <w:gridCol w:w="1434"/>
      </w:tblGrid>
      <w:tr w:rsidR="000A5CFA" w:rsidRPr="00490DCE" w14:paraId="4C174621"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55CA471F"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47B5A7B"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33EA3FF9"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1807" w:type="pct"/>
          </w:tcPr>
          <w:p w14:paraId="3CA50115"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2127635D"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7F1BAD5D"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63D6CD08"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42849CAC"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4CE5EE74"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B4B2562" w14:textId="77777777" w:rsidR="000A5CFA" w:rsidRPr="00622A71" w:rsidRDefault="000A5CFA">
            <w:pPr>
              <w:pStyle w:val="body"/>
              <w:rPr>
                <w:rFonts w:ascii="Arial" w:hAnsi="Arial" w:cs="Arial"/>
                <w:b/>
                <w:color w:val="auto"/>
              </w:rPr>
            </w:pPr>
            <w:r w:rsidRPr="00622A71">
              <w:rPr>
                <w:rStyle w:val="bold"/>
                <w:rFonts w:ascii="Arial" w:hAnsi="Arial" w:cs="Arial"/>
                <w:b/>
                <w:color w:val="auto"/>
              </w:rPr>
              <w:t>Beverage Container Litter in the Northern Territory</w:t>
            </w:r>
          </w:p>
        </w:tc>
      </w:tr>
      <w:tr w:rsidR="000A5CFA" w:rsidRPr="00490DCE" w14:paraId="08CA83FC"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2BF9A76B"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23986E18"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Options to address beverage container litter in the Northern Territory.</w:t>
            </w:r>
          </w:p>
        </w:tc>
        <w:tc>
          <w:tcPr>
            <w:cnfStyle w:val="000010000000" w:firstRow="0" w:lastRow="0" w:firstColumn="0" w:lastColumn="0" w:oddVBand="1" w:evenVBand="0" w:oddHBand="0" w:evenHBand="0" w:firstRowFirstColumn="0" w:firstRowLastColumn="0" w:lastRowFirstColumn="0" w:lastRowLastColumn="0"/>
            <w:tcW w:w="659" w:type="pct"/>
          </w:tcPr>
          <w:p w14:paraId="29C4475E"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69F2A0E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1C13FA9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581349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1E57E9CA"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5C35FDD6" w14:textId="77777777" w:rsidR="000A5CFA" w:rsidRPr="00622A71" w:rsidRDefault="000A5CFA">
            <w:pPr>
              <w:pStyle w:val="body"/>
              <w:rPr>
                <w:rFonts w:ascii="Arial" w:hAnsi="Arial" w:cs="Arial"/>
                <w:b/>
                <w:color w:val="auto"/>
              </w:rPr>
            </w:pPr>
            <w:r w:rsidRPr="00622A71">
              <w:rPr>
                <w:rStyle w:val="bold"/>
                <w:rFonts w:ascii="Arial" w:hAnsi="Arial" w:cs="Arial"/>
                <w:b/>
                <w:color w:val="auto"/>
              </w:rPr>
              <w:t>Regulation of Water Market Intermediaries</w:t>
            </w:r>
          </w:p>
        </w:tc>
      </w:tr>
      <w:tr w:rsidR="000A5CFA" w:rsidRPr="00490DCE" w14:paraId="16DF1213"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2DB0A534"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CBE85EB"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Investigating potential misconduct by water market intermediaries.</w:t>
            </w:r>
          </w:p>
        </w:tc>
        <w:tc>
          <w:tcPr>
            <w:cnfStyle w:val="000010000000" w:firstRow="0" w:lastRow="0" w:firstColumn="0" w:lastColumn="0" w:oddVBand="1" w:evenVBand="0" w:oddHBand="0" w:evenHBand="0" w:firstRowFirstColumn="0" w:firstRowLastColumn="0" w:lastRowFirstColumn="0" w:lastRowLastColumn="0"/>
            <w:tcW w:w="659" w:type="pct"/>
          </w:tcPr>
          <w:p w14:paraId="642473E4"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657EE4D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01E055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2ABFB06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50C1E6E0"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06C50E4A" w14:textId="77777777" w:rsidR="000A5CFA" w:rsidRPr="00622A71" w:rsidRDefault="000A5CFA">
            <w:pPr>
              <w:pStyle w:val="body"/>
              <w:rPr>
                <w:rFonts w:ascii="Arial" w:hAnsi="Arial" w:cs="Arial"/>
                <w:b/>
                <w:color w:val="auto"/>
              </w:rPr>
            </w:pPr>
            <w:r w:rsidRPr="00622A71">
              <w:rPr>
                <w:rStyle w:val="bold"/>
                <w:rFonts w:ascii="Arial" w:hAnsi="Arial" w:cs="Arial"/>
                <w:b/>
                <w:color w:val="auto"/>
              </w:rPr>
              <w:t>Reducing Emissions from Wood Heaters</w:t>
            </w:r>
          </w:p>
        </w:tc>
      </w:tr>
      <w:tr w:rsidR="000A5CFA" w:rsidRPr="00490DCE" w14:paraId="3A67BD43"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39C30FD8"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B439D99"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Investigates options to reduce emissions from wood heaters.</w:t>
            </w:r>
          </w:p>
        </w:tc>
        <w:tc>
          <w:tcPr>
            <w:cnfStyle w:val="000010000000" w:firstRow="0" w:lastRow="0" w:firstColumn="0" w:lastColumn="0" w:oddVBand="1" w:evenVBand="0" w:oddHBand="0" w:evenHBand="0" w:firstRowFirstColumn="0" w:firstRowLastColumn="0" w:lastRowFirstColumn="0" w:lastRowLastColumn="0"/>
            <w:tcW w:w="659" w:type="pct"/>
          </w:tcPr>
          <w:p w14:paraId="3C01BF0A"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2A0AAEE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6E4F709"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8E5FEA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4EA5FEF5"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8D496B2" w14:textId="77777777" w:rsidR="000A5CFA" w:rsidRPr="00622A71" w:rsidRDefault="000A5CFA">
            <w:pPr>
              <w:pStyle w:val="body"/>
              <w:rPr>
                <w:rFonts w:ascii="Arial" w:hAnsi="Arial" w:cs="Arial"/>
                <w:b/>
                <w:color w:val="auto"/>
              </w:rPr>
            </w:pPr>
            <w:r w:rsidRPr="00622A71">
              <w:rPr>
                <w:rStyle w:val="bold"/>
                <w:rFonts w:ascii="Arial" w:hAnsi="Arial" w:cs="Arial"/>
                <w:b/>
                <w:color w:val="auto"/>
              </w:rPr>
              <w:t>Management of Chemical Environmental Risks</w:t>
            </w:r>
          </w:p>
        </w:tc>
      </w:tr>
      <w:tr w:rsidR="000A5CFA" w:rsidRPr="00490DCE" w14:paraId="3FEA5EC1"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5132E41B"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2865B740"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Investigates options to improve management of chemical environmental risks.</w:t>
            </w:r>
          </w:p>
        </w:tc>
        <w:tc>
          <w:tcPr>
            <w:cnfStyle w:val="000010000000" w:firstRow="0" w:lastRow="0" w:firstColumn="0" w:lastColumn="0" w:oddVBand="1" w:evenVBand="0" w:oddHBand="0" w:evenHBand="0" w:firstRowFirstColumn="0" w:firstRowLastColumn="0" w:lastRowFirstColumn="0" w:lastRowLastColumn="0"/>
            <w:tcW w:w="659" w:type="pct"/>
          </w:tcPr>
          <w:p w14:paraId="6133EB1D"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1FCFA1B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B7B855A"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CB7BD6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1D41E463" w14:textId="77777777" w:rsidR="000A5CFA" w:rsidRPr="00490DCE" w:rsidRDefault="000A5CFA">
      <w:pPr>
        <w:pStyle w:val="body"/>
        <w:rPr>
          <w:rFonts w:ascii="Arial" w:hAnsi="Arial" w:cs="Arial"/>
          <w:color w:val="auto"/>
          <w:sz w:val="16"/>
          <w:szCs w:val="16"/>
          <w:lang w:val="en-AU"/>
        </w:rPr>
      </w:pPr>
    </w:p>
    <w:p w14:paraId="03E36E61" w14:textId="77777777" w:rsidR="000A5CFA" w:rsidRPr="00490DCE" w:rsidRDefault="000A5CFA">
      <w:pPr>
        <w:pStyle w:val="note"/>
        <w:rPr>
          <w:rStyle w:val="italic"/>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470E2C7F" w14:textId="77777777" w:rsidR="000A5CFA" w:rsidRPr="00490DCE" w:rsidRDefault="00066534">
      <w:pPr>
        <w:pStyle w:val="tabletitle"/>
        <w:rPr>
          <w:rFonts w:cs="Arial"/>
        </w:rPr>
      </w:pPr>
      <w:r w:rsidRPr="00490DCE">
        <w:rPr>
          <w:rFonts w:cs="Arial"/>
        </w:rPr>
        <w:br w:type="page"/>
      </w:r>
      <w:r w:rsidR="000A5CFA" w:rsidRPr="00490DCE">
        <w:rPr>
          <w:rFonts w:cs="Arial"/>
        </w:rPr>
        <w:lastRenderedPageBreak/>
        <w:t>4.2.13 Standing Council on Federal Financial Relations</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Federal Financial Relations"/>
      </w:tblPr>
      <w:tblGrid>
        <w:gridCol w:w="697"/>
        <w:gridCol w:w="3559"/>
        <w:gridCol w:w="1298"/>
        <w:gridCol w:w="1430"/>
        <w:gridCol w:w="1430"/>
        <w:gridCol w:w="1434"/>
      </w:tblGrid>
      <w:tr w:rsidR="000A5CFA" w:rsidRPr="00490DCE" w14:paraId="442024A2"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05CDD2E4" w14:textId="77777777" w:rsidR="000A5CFA" w:rsidRPr="00490DCE" w:rsidRDefault="000A5CFA" w:rsidP="00EF060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4037493"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202A3059" w14:textId="77777777" w:rsidR="000A5CFA" w:rsidRPr="00490DCE" w:rsidRDefault="000A5CFA" w:rsidP="00EF0601">
            <w:pPr>
              <w:pStyle w:val="NoParagraphStyle"/>
              <w:spacing w:line="240" w:lineRule="auto"/>
              <w:textAlignment w:val="auto"/>
              <w:outlineLvl w:val="3"/>
              <w:rPr>
                <w:rFonts w:ascii="Arial" w:hAnsi="Arial" w:cs="Arial"/>
                <w:color w:val="auto"/>
                <w:lang w:val="en-US"/>
              </w:rPr>
            </w:pPr>
          </w:p>
        </w:tc>
        <w:tc>
          <w:tcPr>
            <w:tcW w:w="1807" w:type="pct"/>
          </w:tcPr>
          <w:p w14:paraId="0D8D837A" w14:textId="77777777" w:rsidR="000A5CFA" w:rsidRPr="0033158E" w:rsidRDefault="000A5CFA" w:rsidP="00EF0601">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08F99B31"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6AC35F4B"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642BBECC" w14:textId="77777777" w:rsidR="000A5CFA" w:rsidRPr="0033158E" w:rsidRDefault="000A5CFA" w:rsidP="00EF0601">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7D43904A" w14:textId="77777777" w:rsidR="000A5CFA" w:rsidRPr="0033158E" w:rsidRDefault="000A5CFA" w:rsidP="00EF060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008B0F57"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39BF176" w14:textId="77777777" w:rsidR="000A5CFA" w:rsidRPr="00622A71" w:rsidRDefault="000A5CFA">
            <w:pPr>
              <w:pStyle w:val="body"/>
              <w:rPr>
                <w:rFonts w:ascii="Arial" w:hAnsi="Arial" w:cs="Arial"/>
                <w:b/>
                <w:color w:val="auto"/>
              </w:rPr>
            </w:pPr>
            <w:r w:rsidRPr="00622A71">
              <w:rPr>
                <w:rStyle w:val="bold"/>
                <w:rFonts w:ascii="Arial" w:hAnsi="Arial" w:cs="Arial"/>
                <w:b/>
                <w:color w:val="auto"/>
              </w:rPr>
              <w:t>National Licensing for Electrical Occupations</w:t>
            </w:r>
          </w:p>
        </w:tc>
      </w:tr>
      <w:tr w:rsidR="000A5CFA" w:rsidRPr="00490DCE" w14:paraId="3918F49E"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71D83D6A"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FB91049"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Examines the impact of replacing the current diverse state and territory licensing of the electrical occupational area with the proposed national licensing approach.</w:t>
            </w:r>
          </w:p>
        </w:tc>
        <w:tc>
          <w:tcPr>
            <w:cnfStyle w:val="000010000000" w:firstRow="0" w:lastRow="0" w:firstColumn="0" w:lastColumn="0" w:oddVBand="1" w:evenVBand="0" w:oddHBand="0" w:evenHBand="0" w:firstRowFirstColumn="0" w:firstRowLastColumn="0" w:lastRowFirstColumn="0" w:lastRowLastColumn="0"/>
            <w:tcW w:w="659" w:type="pct"/>
          </w:tcPr>
          <w:p w14:paraId="49B27A70"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5F10042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047D75B1"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5C18A90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2CF3196F"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0D6D1609" w14:textId="77777777" w:rsidR="000A5CFA" w:rsidRPr="00622A71" w:rsidRDefault="000A5CFA">
            <w:pPr>
              <w:pStyle w:val="body"/>
              <w:rPr>
                <w:rFonts w:ascii="Arial" w:hAnsi="Arial" w:cs="Arial"/>
                <w:b/>
                <w:color w:val="auto"/>
              </w:rPr>
            </w:pPr>
            <w:r w:rsidRPr="00622A71">
              <w:rPr>
                <w:rStyle w:val="bold"/>
                <w:rFonts w:ascii="Arial" w:hAnsi="Arial" w:cs="Arial"/>
                <w:b/>
                <w:color w:val="auto"/>
              </w:rPr>
              <w:t xml:space="preserve">National Licensing for Plumbing and </w:t>
            </w:r>
            <w:proofErr w:type="spellStart"/>
            <w:r w:rsidRPr="00622A71">
              <w:rPr>
                <w:rStyle w:val="bold"/>
                <w:rFonts w:ascii="Arial" w:hAnsi="Arial" w:cs="Arial"/>
                <w:b/>
                <w:color w:val="auto"/>
              </w:rPr>
              <w:t>Gasfitting</w:t>
            </w:r>
            <w:proofErr w:type="spellEnd"/>
            <w:r w:rsidRPr="00622A71">
              <w:rPr>
                <w:rStyle w:val="bold"/>
                <w:rFonts w:ascii="Arial" w:hAnsi="Arial" w:cs="Arial"/>
                <w:b/>
                <w:color w:val="auto"/>
              </w:rPr>
              <w:t xml:space="preserve"> Occupations</w:t>
            </w:r>
          </w:p>
        </w:tc>
      </w:tr>
      <w:tr w:rsidR="000A5CFA" w:rsidRPr="00490DCE" w14:paraId="66F7CEE4"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052379B7"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3D011269"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spacing w:val="-2"/>
              </w:rPr>
              <w:t xml:space="preserve">Examines the impact of replacing the current diverse state and territory licensing of the plumbing and </w:t>
            </w:r>
            <w:proofErr w:type="spellStart"/>
            <w:r w:rsidRPr="00622A71">
              <w:rPr>
                <w:rStyle w:val="italic"/>
                <w:rFonts w:ascii="Arial" w:hAnsi="Arial" w:cs="Arial"/>
                <w:i/>
                <w:color w:val="auto"/>
                <w:spacing w:val="-2"/>
              </w:rPr>
              <w:t>gasfitting</w:t>
            </w:r>
            <w:proofErr w:type="spellEnd"/>
            <w:r w:rsidRPr="00622A71">
              <w:rPr>
                <w:rStyle w:val="italic"/>
                <w:rFonts w:ascii="Arial" w:hAnsi="Arial" w:cs="Arial"/>
                <w:i/>
                <w:color w:val="auto"/>
                <w:spacing w:val="-2"/>
              </w:rPr>
              <w:t xml:space="preserve"> occupational area with the proposed national licensing approach.</w:t>
            </w:r>
          </w:p>
        </w:tc>
        <w:tc>
          <w:tcPr>
            <w:cnfStyle w:val="000010000000" w:firstRow="0" w:lastRow="0" w:firstColumn="0" w:lastColumn="0" w:oddVBand="1" w:evenVBand="0" w:oddHBand="0" w:evenHBand="0" w:firstRowFirstColumn="0" w:firstRowLastColumn="0" w:lastRowFirstColumn="0" w:lastRowLastColumn="0"/>
            <w:tcW w:w="659" w:type="pct"/>
          </w:tcPr>
          <w:p w14:paraId="6D2C1112"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E97D1F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315E6591"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D6B430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768A607C"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4BC8EF1F" w14:textId="77777777" w:rsidR="000A5CFA" w:rsidRPr="00622A71" w:rsidRDefault="000A5CFA">
            <w:pPr>
              <w:pStyle w:val="body"/>
              <w:rPr>
                <w:rFonts w:ascii="Arial" w:hAnsi="Arial" w:cs="Arial"/>
                <w:b/>
                <w:color w:val="auto"/>
              </w:rPr>
            </w:pPr>
            <w:r w:rsidRPr="00622A71">
              <w:rPr>
                <w:rStyle w:val="bold"/>
                <w:rFonts w:ascii="Arial" w:hAnsi="Arial" w:cs="Arial"/>
                <w:b/>
                <w:color w:val="auto"/>
              </w:rPr>
              <w:t>National Licensing for Refrigeration and Air-conditioning Occupations</w:t>
            </w:r>
          </w:p>
        </w:tc>
      </w:tr>
      <w:tr w:rsidR="000A5CFA" w:rsidRPr="00490DCE" w14:paraId="5CC5C6FE"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35A4684A"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F41A071" w14:textId="05DBDD69"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Examines the impact of replacing the current diverse state and territory licensing of the refrigeration and air</w:t>
            </w:r>
            <w:r w:rsidR="00F43F6A">
              <w:rPr>
                <w:rStyle w:val="italic"/>
                <w:rFonts w:ascii="American Typewriter Light" w:hAnsi="American Typewriter Light" w:cs="American Typewriter Light"/>
                <w:i/>
                <w:color w:val="auto"/>
              </w:rPr>
              <w:t>-</w:t>
            </w:r>
            <w:r w:rsidRPr="00622A71">
              <w:rPr>
                <w:rStyle w:val="italic"/>
                <w:rFonts w:ascii="Arial" w:hAnsi="Arial" w:cs="Arial"/>
                <w:i/>
                <w:color w:val="auto"/>
              </w:rPr>
              <w:t>conditioning occupational area with the proposed national licensing approach.</w:t>
            </w:r>
          </w:p>
        </w:tc>
        <w:tc>
          <w:tcPr>
            <w:cnfStyle w:val="000010000000" w:firstRow="0" w:lastRow="0" w:firstColumn="0" w:lastColumn="0" w:oddVBand="1" w:evenVBand="0" w:oddHBand="0" w:evenHBand="0" w:firstRowFirstColumn="0" w:firstRowLastColumn="0" w:lastRowFirstColumn="0" w:lastRowLastColumn="0"/>
            <w:tcW w:w="659" w:type="pct"/>
          </w:tcPr>
          <w:p w14:paraId="13B50CC9"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23B826B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6AB19D42"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AEACCF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20CB1650"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2A6FDF02" w14:textId="77777777" w:rsidR="000A5CFA" w:rsidRPr="00622A71" w:rsidRDefault="000A5CFA">
            <w:pPr>
              <w:pStyle w:val="body"/>
              <w:rPr>
                <w:rFonts w:ascii="Arial" w:hAnsi="Arial" w:cs="Arial"/>
                <w:b/>
                <w:color w:val="auto"/>
              </w:rPr>
            </w:pPr>
            <w:r w:rsidRPr="00622A71">
              <w:rPr>
                <w:rStyle w:val="bold"/>
                <w:rFonts w:ascii="Arial" w:hAnsi="Arial" w:cs="Arial"/>
                <w:b/>
                <w:color w:val="auto"/>
              </w:rPr>
              <w:t>National Licensing for Property Occupations</w:t>
            </w:r>
          </w:p>
        </w:tc>
      </w:tr>
      <w:tr w:rsidR="000A5CFA" w:rsidRPr="00490DCE" w14:paraId="3FBE8FD8"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2A23B296"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3686EED2"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rPr>
              <w:t>Examines the impact of replacing the current diverse state and territory licensing of the property occupational area with the proposed national licensing approach.</w:t>
            </w:r>
          </w:p>
        </w:tc>
        <w:tc>
          <w:tcPr>
            <w:cnfStyle w:val="000010000000" w:firstRow="0" w:lastRow="0" w:firstColumn="0" w:lastColumn="0" w:oddVBand="1" w:evenVBand="0" w:oddHBand="0" w:evenHBand="0" w:firstRowFirstColumn="0" w:firstRowLastColumn="0" w:lastRowFirstColumn="0" w:lastRowLastColumn="0"/>
            <w:tcW w:w="659" w:type="pct"/>
          </w:tcPr>
          <w:p w14:paraId="7184CF52"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F125F4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4EDCC170"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5F5BF7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1E942109"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0CA12EFC" w14:textId="77777777" w:rsidR="000A5CFA" w:rsidRPr="00622A71" w:rsidRDefault="000A5CFA">
            <w:pPr>
              <w:pStyle w:val="body"/>
              <w:rPr>
                <w:rFonts w:ascii="Arial" w:hAnsi="Arial" w:cs="Arial"/>
                <w:b/>
                <w:color w:val="auto"/>
              </w:rPr>
            </w:pPr>
            <w:r w:rsidRPr="00622A71">
              <w:rPr>
                <w:rStyle w:val="bold"/>
                <w:rFonts w:ascii="Arial" w:hAnsi="Arial" w:cs="Arial"/>
                <w:b/>
                <w:color w:val="auto"/>
              </w:rPr>
              <w:t>Governance and Reporting Standards for Charities</w:t>
            </w:r>
          </w:p>
        </w:tc>
      </w:tr>
      <w:tr w:rsidR="000A5CFA" w:rsidRPr="00490DCE" w14:paraId="2530A534"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33C4258B"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6E12615" w14:textId="77777777" w:rsidR="000A5CFA" w:rsidRPr="00622A71"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622A71">
              <w:rPr>
                <w:rStyle w:val="italic"/>
                <w:rFonts w:ascii="Arial" w:hAnsi="Arial" w:cs="Arial"/>
                <w:i/>
                <w:color w:val="auto"/>
                <w:spacing w:val="-4"/>
              </w:rPr>
              <w:t>Assessment of regulatory duplication between the proposed Commonwealth governance and reporting standards and existing state and territory requirements for charities.</w:t>
            </w:r>
          </w:p>
        </w:tc>
        <w:tc>
          <w:tcPr>
            <w:cnfStyle w:val="000010000000" w:firstRow="0" w:lastRow="0" w:firstColumn="0" w:lastColumn="0" w:oddVBand="1" w:evenVBand="0" w:oddHBand="0" w:evenHBand="0" w:firstRowFirstColumn="0" w:firstRowLastColumn="0" w:lastRowFirstColumn="0" w:lastRowLastColumn="0"/>
            <w:tcW w:w="659" w:type="pct"/>
          </w:tcPr>
          <w:p w14:paraId="067EAC4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4A3DF8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DC43A8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4C06351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563E858B" w14:textId="77777777" w:rsidR="000A5CFA" w:rsidRPr="00490DCE" w:rsidRDefault="000A5CFA">
      <w:pPr>
        <w:pStyle w:val="body"/>
        <w:rPr>
          <w:rFonts w:ascii="Arial" w:hAnsi="Arial" w:cs="Arial"/>
          <w:color w:val="auto"/>
          <w:sz w:val="16"/>
          <w:szCs w:val="16"/>
          <w:lang w:val="en-AU"/>
        </w:rPr>
      </w:pPr>
    </w:p>
    <w:p w14:paraId="3796148A" w14:textId="77777777" w:rsidR="000A5CFA" w:rsidRPr="00490DCE" w:rsidRDefault="000A5CFA">
      <w:pPr>
        <w:pStyle w:val="note"/>
        <w:rPr>
          <w:rStyle w:val="italic"/>
          <w:rFonts w:cs="Arial"/>
          <w:color w:val="auto"/>
          <w:szCs w:val="18"/>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139ED351" w14:textId="77777777" w:rsidR="000A5CFA" w:rsidRPr="00490DCE" w:rsidRDefault="00066534">
      <w:pPr>
        <w:pStyle w:val="tabletitle"/>
        <w:rPr>
          <w:rFonts w:cs="Arial"/>
        </w:rPr>
      </w:pPr>
      <w:r w:rsidRPr="00490DCE">
        <w:rPr>
          <w:rFonts w:cs="Arial"/>
        </w:rPr>
        <w:br w:type="page"/>
      </w:r>
      <w:r w:rsidR="000A5CFA" w:rsidRPr="00490DCE">
        <w:rPr>
          <w:rFonts w:cs="Arial"/>
        </w:rPr>
        <w:lastRenderedPageBreak/>
        <w:t>4.2.14 Standing Council on Health</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Health"/>
      </w:tblPr>
      <w:tblGrid>
        <w:gridCol w:w="697"/>
        <w:gridCol w:w="3559"/>
        <w:gridCol w:w="1298"/>
        <w:gridCol w:w="1430"/>
        <w:gridCol w:w="1430"/>
        <w:gridCol w:w="1434"/>
      </w:tblGrid>
      <w:tr w:rsidR="000A5CFA" w:rsidRPr="00490DCE" w14:paraId="3CD511AA"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4F1D9474"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55B0BD8" w14:textId="77777777" w:rsidTr="007425E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55137355"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663C7624"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388D435B"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1E5DD2B3"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1068F24D"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25241C36"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47C5DA82"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40E26191" w14:textId="77777777" w:rsidR="000A5CFA" w:rsidRPr="009E0739" w:rsidRDefault="000A5CFA">
            <w:pPr>
              <w:pStyle w:val="body"/>
              <w:rPr>
                <w:rFonts w:ascii="Arial" w:hAnsi="Arial" w:cs="Arial"/>
                <w:b/>
                <w:color w:val="auto"/>
              </w:rPr>
            </w:pPr>
            <w:r w:rsidRPr="009E0739">
              <w:rPr>
                <w:rStyle w:val="bold"/>
                <w:rFonts w:ascii="Arial" w:hAnsi="Arial" w:cs="Arial"/>
                <w:b/>
                <w:color w:val="auto"/>
              </w:rPr>
              <w:t>Strategies to Implement a National Approach to Poisonous Chemical Controls</w:t>
            </w:r>
          </w:p>
        </w:tc>
      </w:tr>
      <w:tr w:rsidR="000A5CFA" w:rsidRPr="00490DCE" w14:paraId="5E2B2814"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0C5C771C"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52522465"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Examines options to improve national consistency of poisonous chemical regulation.</w:t>
            </w:r>
          </w:p>
        </w:tc>
        <w:tc>
          <w:tcPr>
            <w:cnfStyle w:val="000010000000" w:firstRow="0" w:lastRow="0" w:firstColumn="0" w:lastColumn="0" w:oddVBand="1" w:evenVBand="0" w:oddHBand="0" w:evenHBand="0" w:firstRowFirstColumn="0" w:firstRowLastColumn="0" w:lastRowFirstColumn="0" w:lastRowLastColumn="0"/>
            <w:tcW w:w="659" w:type="pct"/>
          </w:tcPr>
          <w:p w14:paraId="344B0B83"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E056BB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10338FA"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23ADD0A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73164511"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38AD800D" w14:textId="77777777" w:rsidR="000A5CFA" w:rsidRPr="009E0739" w:rsidRDefault="000A5CFA">
            <w:pPr>
              <w:pStyle w:val="body"/>
              <w:rPr>
                <w:rFonts w:ascii="Arial" w:hAnsi="Arial" w:cs="Arial"/>
                <w:b/>
                <w:color w:val="auto"/>
              </w:rPr>
            </w:pPr>
            <w:r w:rsidRPr="009E0739">
              <w:rPr>
                <w:rStyle w:val="bold"/>
                <w:rFonts w:ascii="Arial" w:hAnsi="Arial" w:cs="Arial"/>
                <w:b/>
                <w:color w:val="auto"/>
              </w:rPr>
              <w:t>Unregistered Health Practitioners</w:t>
            </w:r>
          </w:p>
        </w:tc>
      </w:tr>
      <w:tr w:rsidR="000A5CFA" w:rsidRPr="00490DCE" w14:paraId="4311DEB9"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38648EEB"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4CB9D06"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Options for strengthening the regulation of those health practitioners where statutory registration is not a prerequisite for practice.</w:t>
            </w:r>
          </w:p>
        </w:tc>
        <w:tc>
          <w:tcPr>
            <w:cnfStyle w:val="000010000000" w:firstRow="0" w:lastRow="0" w:firstColumn="0" w:lastColumn="0" w:oddVBand="1" w:evenVBand="0" w:oddHBand="0" w:evenHBand="0" w:firstRowFirstColumn="0" w:firstRowLastColumn="0" w:lastRowFirstColumn="0" w:lastRowLastColumn="0"/>
            <w:tcW w:w="659" w:type="pct"/>
          </w:tcPr>
          <w:p w14:paraId="1253A5E1" w14:textId="77777777" w:rsidR="000A5CFA" w:rsidRPr="00490DCE" w:rsidRDefault="000A5CFA">
            <w:pPr>
              <w:pStyle w:val="body"/>
              <w:jc w:val="center"/>
              <w:rPr>
                <w:rFonts w:ascii="Arial" w:hAnsi="Arial" w:cs="Arial"/>
                <w:color w:val="auto"/>
              </w:rPr>
            </w:pPr>
            <w:r w:rsidRPr="00490DCE">
              <w:rPr>
                <w:rFonts w:ascii="Arial" w:hAnsi="Arial" w:cs="Arial"/>
                <w:color w:val="auto"/>
              </w:rPr>
              <w:t>14 June 2013</w:t>
            </w:r>
          </w:p>
        </w:tc>
        <w:tc>
          <w:tcPr>
            <w:tcW w:w="726" w:type="pct"/>
          </w:tcPr>
          <w:p w14:paraId="2E0F732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21C11415"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072C219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1F9A2784" w14:textId="77777777" w:rsidR="000A5CFA" w:rsidRPr="00490DCE" w:rsidRDefault="000A5CFA">
      <w:pPr>
        <w:pStyle w:val="body"/>
        <w:rPr>
          <w:rFonts w:ascii="Arial" w:hAnsi="Arial" w:cs="Arial"/>
          <w:color w:val="auto"/>
          <w:sz w:val="22"/>
          <w:szCs w:val="22"/>
          <w:lang w:val="en-AU"/>
        </w:rPr>
      </w:pPr>
    </w:p>
    <w:p w14:paraId="77EAB14A" w14:textId="77777777" w:rsidR="000A5CFA" w:rsidRPr="00490DCE" w:rsidRDefault="000A5CFA">
      <w:pPr>
        <w:pStyle w:val="note"/>
        <w:rPr>
          <w:rStyle w:val="italic"/>
          <w:rFonts w:cs="Arial"/>
          <w:color w:val="auto"/>
          <w:szCs w:val="18"/>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01A068E2" w14:textId="77777777" w:rsidR="000A5CFA" w:rsidRPr="00490DCE" w:rsidRDefault="000A5CFA">
      <w:pPr>
        <w:pStyle w:val="tabletitle"/>
        <w:rPr>
          <w:rFonts w:cs="Arial"/>
          <w:lang w:val="en-US"/>
        </w:rPr>
      </w:pPr>
      <w:r w:rsidRPr="00490DCE">
        <w:rPr>
          <w:rFonts w:cs="Arial"/>
        </w:rPr>
        <w:t>4.2.15 Select Council on Housing and Homelessness</w:t>
      </w:r>
    </w:p>
    <w:tbl>
      <w:tblPr>
        <w:tblStyle w:val="LightList"/>
        <w:tblW w:w="5000" w:type="pct"/>
        <w:tblLook w:val="0020" w:firstRow="1" w:lastRow="0" w:firstColumn="0" w:lastColumn="0" w:noHBand="0" w:noVBand="0"/>
        <w:tblDescription w:val="Detailed Compliance with Council of Australian Governments RIS requirements during 2012-13 - Select Council on Housing and Homelessness"/>
      </w:tblPr>
      <w:tblGrid>
        <w:gridCol w:w="697"/>
        <w:gridCol w:w="3559"/>
        <w:gridCol w:w="1298"/>
        <w:gridCol w:w="1430"/>
        <w:gridCol w:w="1430"/>
        <w:gridCol w:w="1434"/>
      </w:tblGrid>
      <w:tr w:rsidR="000A5CFA" w:rsidRPr="00490DCE" w14:paraId="32AEB906"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01E46977"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0D96526B"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73FCE265"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47862B9F"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01445CCA"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36A865AF"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7551BC2B"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5BACC1DE"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0E221D91"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5AE49482" w14:textId="77777777" w:rsidR="000A5CFA" w:rsidRPr="009E0739" w:rsidRDefault="000A5CFA">
            <w:pPr>
              <w:pStyle w:val="body"/>
              <w:rPr>
                <w:rFonts w:ascii="Arial" w:hAnsi="Arial" w:cs="Arial"/>
                <w:b/>
                <w:color w:val="auto"/>
              </w:rPr>
            </w:pPr>
            <w:r w:rsidRPr="009E0739">
              <w:rPr>
                <w:rStyle w:val="bold"/>
                <w:rFonts w:ascii="Arial" w:hAnsi="Arial" w:cs="Arial"/>
                <w:b/>
                <w:color w:val="auto"/>
              </w:rPr>
              <w:t>National Regulatory System for Community Housing Providers</w:t>
            </w:r>
          </w:p>
        </w:tc>
      </w:tr>
      <w:tr w:rsidR="000A5CFA" w:rsidRPr="00490DCE" w14:paraId="4FEB6C14"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DD4EB16"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C4B99A8"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To provide a nationally consistent regulatory system.</w:t>
            </w:r>
          </w:p>
        </w:tc>
        <w:tc>
          <w:tcPr>
            <w:cnfStyle w:val="000010000000" w:firstRow="0" w:lastRow="0" w:firstColumn="0" w:lastColumn="0" w:oddVBand="1" w:evenVBand="0" w:oddHBand="0" w:evenHBand="0" w:firstRowFirstColumn="0" w:firstRowLastColumn="0" w:lastRowFirstColumn="0" w:lastRowLastColumn="0"/>
            <w:tcW w:w="659" w:type="pct"/>
          </w:tcPr>
          <w:p w14:paraId="7B52CD18" w14:textId="77777777" w:rsidR="000A5CFA" w:rsidRPr="00490DCE" w:rsidRDefault="000A5CFA">
            <w:pPr>
              <w:pStyle w:val="body"/>
              <w:jc w:val="center"/>
              <w:rPr>
                <w:rFonts w:ascii="Arial" w:hAnsi="Arial" w:cs="Arial"/>
                <w:color w:val="auto"/>
              </w:rPr>
            </w:pPr>
            <w:r w:rsidRPr="00490DCE">
              <w:rPr>
                <w:rFonts w:ascii="Arial" w:hAnsi="Arial" w:cs="Arial"/>
                <w:color w:val="auto"/>
              </w:rPr>
              <w:t>28 March 2013</w:t>
            </w:r>
          </w:p>
        </w:tc>
        <w:tc>
          <w:tcPr>
            <w:tcW w:w="726" w:type="pct"/>
          </w:tcPr>
          <w:p w14:paraId="329316B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r w:rsidRPr="00490DCE">
              <w:rPr>
                <w:rStyle w:val="super"/>
                <w:rFonts w:cs="Arial"/>
                <w:color w:val="auto"/>
              </w:rPr>
              <w:t>a</w:t>
            </w:r>
          </w:p>
        </w:tc>
        <w:tc>
          <w:tcPr>
            <w:cnfStyle w:val="000010000000" w:firstRow="0" w:lastRow="0" w:firstColumn="0" w:lastColumn="0" w:oddVBand="1" w:evenVBand="0" w:oddHBand="0" w:evenHBand="0" w:firstRowFirstColumn="0" w:firstRowLastColumn="0" w:lastRowFirstColumn="0" w:lastRowLastColumn="0"/>
            <w:tcW w:w="726" w:type="pct"/>
          </w:tcPr>
          <w:p w14:paraId="4FDB5434"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2C3A340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159E0C31" w14:textId="77777777" w:rsidR="000A5CFA" w:rsidRPr="00490DCE" w:rsidRDefault="000A5CFA">
      <w:pPr>
        <w:pStyle w:val="body"/>
        <w:rPr>
          <w:rFonts w:ascii="Arial" w:hAnsi="Arial" w:cs="Arial"/>
          <w:color w:val="auto"/>
          <w:sz w:val="16"/>
          <w:szCs w:val="16"/>
          <w:lang w:val="en-AU"/>
        </w:rPr>
      </w:pPr>
    </w:p>
    <w:p w14:paraId="6B466DDE" w14:textId="77777777" w:rsidR="000A5CFA" w:rsidRPr="00490DCE" w:rsidRDefault="000A5CFA">
      <w:pPr>
        <w:pStyle w:val="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The consultation RIS was published by the Select Council in November 2011, but was not published by the OBPR. The consultation RIS is available on the National Regulatory System Community Housing website (</w:t>
      </w:r>
      <w:hyperlink r:id="rId14" w:history="1">
        <w:r w:rsidRPr="00490DCE">
          <w:rPr>
            <w:rStyle w:val="Hyperlink1"/>
            <w:rFonts w:cs="Arial"/>
            <w:color w:val="auto"/>
          </w:rPr>
          <w:t>http://www.nrsch.gov.au</w:t>
        </w:r>
      </w:hyperlink>
      <w:r w:rsidRPr="00490DCE">
        <w:rPr>
          <w:rFonts w:cs="Arial"/>
          <w:color w:val="auto"/>
        </w:rPr>
        <w:t>).</w:t>
      </w:r>
    </w:p>
    <w:p w14:paraId="07F1D517" w14:textId="77777777" w:rsidR="000A5CFA" w:rsidRPr="00490DCE" w:rsidRDefault="000A5CFA">
      <w:pPr>
        <w:pStyle w:val="tabletitle"/>
        <w:rPr>
          <w:rFonts w:cs="Arial"/>
        </w:rPr>
      </w:pPr>
      <w:r w:rsidRPr="00490DCE">
        <w:rPr>
          <w:rFonts w:cs="Arial"/>
          <w:lang w:val="en-US"/>
        </w:rPr>
        <w:t xml:space="preserve">4.2.16 </w:t>
      </w:r>
      <w:r w:rsidRPr="00490DCE">
        <w:rPr>
          <w:rFonts w:cs="Arial"/>
        </w:rPr>
        <w:t>Standing Council on Primary Industries</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Primary Industries"/>
      </w:tblPr>
      <w:tblGrid>
        <w:gridCol w:w="697"/>
        <w:gridCol w:w="3559"/>
        <w:gridCol w:w="1298"/>
        <w:gridCol w:w="1430"/>
        <w:gridCol w:w="1430"/>
        <w:gridCol w:w="1434"/>
      </w:tblGrid>
      <w:tr w:rsidR="000A5CFA" w:rsidRPr="00490DCE" w14:paraId="05030993"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63887525"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4AA143E0"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60930CEA"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046355E9"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71E38A82"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41458647"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233D1EBF"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7AD14DC4"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0305485D"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27B5C2F7" w14:textId="77777777" w:rsidR="000A5CFA" w:rsidRPr="009E0739" w:rsidRDefault="000A5CFA">
            <w:pPr>
              <w:pStyle w:val="body"/>
              <w:rPr>
                <w:rFonts w:ascii="Arial" w:hAnsi="Arial" w:cs="Arial"/>
                <w:b/>
                <w:color w:val="auto"/>
              </w:rPr>
            </w:pPr>
            <w:r w:rsidRPr="009E0739">
              <w:rPr>
                <w:rStyle w:val="bold"/>
                <w:rFonts w:ascii="Arial" w:hAnsi="Arial" w:cs="Arial"/>
                <w:b/>
                <w:color w:val="auto"/>
              </w:rPr>
              <w:t>National Welfare Standards for Sheep</w:t>
            </w:r>
          </w:p>
        </w:tc>
      </w:tr>
      <w:tr w:rsidR="000A5CFA" w:rsidRPr="00490DCE" w14:paraId="5E7E4896"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7CB5C7F6"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64C520B4"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spacing w:val="-2"/>
              </w:rPr>
              <w:t>Options for national welfare standards and guidelines for sheep.</w:t>
            </w:r>
          </w:p>
        </w:tc>
        <w:tc>
          <w:tcPr>
            <w:cnfStyle w:val="000010000000" w:firstRow="0" w:lastRow="0" w:firstColumn="0" w:lastColumn="0" w:oddVBand="1" w:evenVBand="0" w:oddHBand="0" w:evenHBand="0" w:firstRowFirstColumn="0" w:firstRowLastColumn="0" w:lastRowFirstColumn="0" w:lastRowLastColumn="0"/>
            <w:tcW w:w="659" w:type="pct"/>
          </w:tcPr>
          <w:p w14:paraId="79847F5D"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6B171B2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079977C"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3B554A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5DBD8C1F"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2DB3973B" w14:textId="77777777" w:rsidR="000A5CFA" w:rsidRPr="009E0739" w:rsidRDefault="000A5CFA">
            <w:pPr>
              <w:pStyle w:val="body"/>
              <w:rPr>
                <w:rFonts w:ascii="Arial" w:hAnsi="Arial" w:cs="Arial"/>
                <w:b/>
                <w:color w:val="auto"/>
              </w:rPr>
            </w:pPr>
            <w:r w:rsidRPr="009E0739">
              <w:rPr>
                <w:rStyle w:val="bold"/>
                <w:rFonts w:ascii="Arial" w:hAnsi="Arial" w:cs="Arial"/>
                <w:b/>
                <w:color w:val="auto"/>
              </w:rPr>
              <w:t>National Welfare standards for Cattle</w:t>
            </w:r>
          </w:p>
        </w:tc>
      </w:tr>
      <w:tr w:rsidR="000A5CFA" w:rsidRPr="00490DCE" w14:paraId="4BA6EF4D"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BB56B5C"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9E48A0F"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spacing w:val="-2"/>
              </w:rPr>
              <w:t>Options for national welfare standards and guidelines for cattle.</w:t>
            </w:r>
          </w:p>
        </w:tc>
        <w:tc>
          <w:tcPr>
            <w:cnfStyle w:val="000010000000" w:firstRow="0" w:lastRow="0" w:firstColumn="0" w:lastColumn="0" w:oddVBand="1" w:evenVBand="0" w:oddHBand="0" w:evenHBand="0" w:firstRowFirstColumn="0" w:firstRowLastColumn="0" w:lastRowFirstColumn="0" w:lastRowLastColumn="0"/>
            <w:tcW w:w="659" w:type="pct"/>
          </w:tcPr>
          <w:p w14:paraId="1F910890"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1A024F1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65A1B3FF"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07831AC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r w:rsidR="000A5CFA" w:rsidRPr="00490DCE" w14:paraId="08BFC9E9" w14:textId="77777777" w:rsidTr="00066534">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5E3740DA" w14:textId="58A93788" w:rsidR="000A5CFA" w:rsidRPr="009E0739" w:rsidRDefault="000A5CFA" w:rsidP="009E0739">
            <w:pPr>
              <w:pStyle w:val="body"/>
              <w:rPr>
                <w:rFonts w:ascii="Arial" w:hAnsi="Arial" w:cs="Arial"/>
                <w:b/>
                <w:color w:val="auto"/>
              </w:rPr>
            </w:pPr>
            <w:r w:rsidRPr="009E0739">
              <w:rPr>
                <w:rStyle w:val="bold"/>
                <w:rFonts w:ascii="Arial" w:hAnsi="Arial" w:cs="Arial"/>
                <w:b/>
                <w:color w:val="auto"/>
              </w:rPr>
              <w:t>National Scheme for the Assessment, Registration and Control-of-use of Agricultural and Veterinary Chemicals</w:t>
            </w:r>
          </w:p>
        </w:tc>
      </w:tr>
      <w:tr w:rsidR="000A5CFA" w:rsidRPr="00490DCE" w14:paraId="3586C03D" w14:textId="77777777" w:rsidTr="00066534">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0B19389"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7775C8D5"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Harmonise the control-of-use elements in the national scheme.</w:t>
            </w:r>
          </w:p>
        </w:tc>
        <w:tc>
          <w:tcPr>
            <w:cnfStyle w:val="000010000000" w:firstRow="0" w:lastRow="0" w:firstColumn="0" w:lastColumn="0" w:oddVBand="1" w:evenVBand="0" w:oddHBand="0" w:evenHBand="0" w:firstRowFirstColumn="0" w:firstRowLastColumn="0" w:lastRowFirstColumn="0" w:lastRowLastColumn="0"/>
            <w:tcW w:w="659" w:type="pct"/>
          </w:tcPr>
          <w:p w14:paraId="7CA679F4" w14:textId="77777777" w:rsidR="000A5CFA" w:rsidRPr="00490DCE" w:rsidRDefault="000A5CFA">
            <w:pPr>
              <w:pStyle w:val="body"/>
              <w:jc w:val="center"/>
              <w:rPr>
                <w:rFonts w:ascii="Arial" w:hAnsi="Arial" w:cs="Arial"/>
                <w:color w:val="auto"/>
              </w:rPr>
            </w:pPr>
            <w:r w:rsidRPr="00490DCE">
              <w:rPr>
                <w:rFonts w:ascii="Arial" w:hAnsi="Arial" w:cs="Arial"/>
                <w:color w:val="auto"/>
              </w:rPr>
              <w:t>3 May 2013</w:t>
            </w:r>
          </w:p>
        </w:tc>
        <w:tc>
          <w:tcPr>
            <w:tcW w:w="726" w:type="pct"/>
          </w:tcPr>
          <w:p w14:paraId="19A1791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62AFD733"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0EDFA9E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0D89C785" w14:textId="77777777" w:rsidR="000A5CFA" w:rsidRPr="00490DCE" w:rsidRDefault="000A5CFA">
      <w:pPr>
        <w:pStyle w:val="body"/>
        <w:rPr>
          <w:rFonts w:ascii="Arial" w:hAnsi="Arial" w:cs="Arial"/>
          <w:color w:val="auto"/>
          <w:sz w:val="16"/>
          <w:szCs w:val="16"/>
          <w:lang w:val="en-AU"/>
        </w:rPr>
      </w:pPr>
    </w:p>
    <w:p w14:paraId="79B7E73F" w14:textId="77777777" w:rsidR="000A5CFA" w:rsidRPr="00490DCE" w:rsidRDefault="000A5CFA">
      <w:pPr>
        <w:pStyle w:val="note"/>
        <w:rPr>
          <w:rStyle w:val="italic"/>
          <w:rFonts w:cs="Arial"/>
          <w:color w:val="auto"/>
          <w:szCs w:val="18"/>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1F2F42FE" w14:textId="77777777" w:rsidR="000A5CFA" w:rsidRPr="00490DCE" w:rsidRDefault="00066534">
      <w:pPr>
        <w:pStyle w:val="tabletitle"/>
        <w:rPr>
          <w:rFonts w:cs="Arial"/>
        </w:rPr>
      </w:pPr>
      <w:r w:rsidRPr="00490DCE">
        <w:rPr>
          <w:rFonts w:cs="Arial"/>
        </w:rPr>
        <w:br w:type="page"/>
      </w:r>
      <w:r w:rsidR="000A5CFA" w:rsidRPr="00490DCE">
        <w:rPr>
          <w:rFonts w:cs="Arial"/>
        </w:rPr>
        <w:lastRenderedPageBreak/>
        <w:t>4.2.17 Standing Council on Tertiary Education, Skills and Employment</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Tertiary Eduction, Skills and Employment"/>
      </w:tblPr>
      <w:tblGrid>
        <w:gridCol w:w="697"/>
        <w:gridCol w:w="3559"/>
        <w:gridCol w:w="1298"/>
        <w:gridCol w:w="1430"/>
        <w:gridCol w:w="1430"/>
        <w:gridCol w:w="1434"/>
      </w:tblGrid>
      <w:tr w:rsidR="000A5CFA" w:rsidRPr="00490DCE" w14:paraId="23054490"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7329BB59"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5B1E0F4"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1C240C46"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2DF7A99B"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1132606D"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54A9E327"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147C39CB"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7CC1E66D"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6C30E9DB" w14:textId="77777777" w:rsidTr="00492615">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040FC623" w14:textId="77777777" w:rsidR="000A5CFA" w:rsidRPr="009E0739" w:rsidRDefault="000A5CFA">
            <w:pPr>
              <w:pStyle w:val="body"/>
              <w:rPr>
                <w:rFonts w:ascii="Arial" w:hAnsi="Arial" w:cs="Arial"/>
                <w:b/>
                <w:color w:val="auto"/>
              </w:rPr>
            </w:pPr>
            <w:r w:rsidRPr="009E0739">
              <w:rPr>
                <w:rStyle w:val="bold"/>
                <w:rFonts w:ascii="Arial" w:hAnsi="Arial" w:cs="Arial"/>
                <w:b/>
                <w:color w:val="auto"/>
              </w:rPr>
              <w:t>Total Vocational Education and Training (VET) Activity Data Collection</w:t>
            </w:r>
          </w:p>
        </w:tc>
      </w:tr>
      <w:tr w:rsidR="000A5CFA" w:rsidRPr="00490DCE" w14:paraId="5BEE1669" w14:textId="77777777" w:rsidTr="00492615">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2B8858CB"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28C31C52"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spacing w:val="-2"/>
              </w:rPr>
              <w:t>Mandates the collection and reporting of total VET activity data.</w:t>
            </w:r>
          </w:p>
        </w:tc>
        <w:tc>
          <w:tcPr>
            <w:cnfStyle w:val="000010000000" w:firstRow="0" w:lastRow="0" w:firstColumn="0" w:lastColumn="0" w:oddVBand="1" w:evenVBand="0" w:oddHBand="0" w:evenHBand="0" w:firstRowFirstColumn="0" w:firstRowLastColumn="0" w:lastRowFirstColumn="0" w:lastRowLastColumn="0"/>
            <w:tcW w:w="659" w:type="pct"/>
          </w:tcPr>
          <w:p w14:paraId="60222E95" w14:textId="77777777" w:rsidR="000A5CFA" w:rsidRPr="00490DCE" w:rsidRDefault="000A5CFA">
            <w:pPr>
              <w:pStyle w:val="body"/>
              <w:jc w:val="center"/>
              <w:rPr>
                <w:rFonts w:ascii="Arial" w:hAnsi="Arial" w:cs="Arial"/>
                <w:color w:val="auto"/>
              </w:rPr>
            </w:pPr>
            <w:r w:rsidRPr="00490DCE">
              <w:rPr>
                <w:rFonts w:ascii="Arial" w:hAnsi="Arial" w:cs="Arial"/>
                <w:color w:val="auto"/>
              </w:rPr>
              <w:t>16 November 2012</w:t>
            </w:r>
          </w:p>
        </w:tc>
        <w:tc>
          <w:tcPr>
            <w:tcW w:w="726" w:type="pct"/>
          </w:tcPr>
          <w:p w14:paraId="1A61FE3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3C618581"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044B685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r w:rsidR="000A5CFA" w:rsidRPr="00490DCE" w14:paraId="13C59ADB" w14:textId="77777777" w:rsidTr="00492615">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57DEA750" w14:textId="77777777" w:rsidR="000A5CFA" w:rsidRPr="009E0739" w:rsidRDefault="000A5CFA">
            <w:pPr>
              <w:pStyle w:val="body"/>
              <w:rPr>
                <w:rFonts w:ascii="Arial" w:hAnsi="Arial" w:cs="Arial"/>
                <w:b/>
                <w:color w:val="auto"/>
              </w:rPr>
            </w:pPr>
            <w:r w:rsidRPr="009E0739">
              <w:rPr>
                <w:rStyle w:val="bold"/>
                <w:rFonts w:ascii="Arial" w:hAnsi="Arial" w:cs="Arial"/>
                <w:b/>
                <w:color w:val="auto"/>
              </w:rPr>
              <w:t>Review of Vocation Education and Training</w:t>
            </w:r>
          </w:p>
        </w:tc>
      </w:tr>
      <w:tr w:rsidR="000A5CFA" w:rsidRPr="00490DCE" w14:paraId="021E0DC1" w14:textId="77777777" w:rsidTr="00492615">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1ED28187"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0CBFD3D7"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spacing w:val="-2"/>
              </w:rPr>
              <w:t>Review of standards for vocational education and training providers.</w:t>
            </w:r>
          </w:p>
        </w:tc>
        <w:tc>
          <w:tcPr>
            <w:cnfStyle w:val="000010000000" w:firstRow="0" w:lastRow="0" w:firstColumn="0" w:lastColumn="0" w:oddVBand="1" w:evenVBand="0" w:oddHBand="0" w:evenHBand="0" w:firstRowFirstColumn="0" w:firstRowLastColumn="0" w:lastRowFirstColumn="0" w:lastRowLastColumn="0"/>
            <w:tcW w:w="659" w:type="pct"/>
          </w:tcPr>
          <w:p w14:paraId="362E90A2"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36F732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5A1E3B4"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3EA95B3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56024961" w14:textId="77777777" w:rsidR="000A5CFA" w:rsidRPr="00490DCE" w:rsidRDefault="000A5CFA">
      <w:pPr>
        <w:pStyle w:val="body"/>
        <w:rPr>
          <w:rFonts w:ascii="Arial" w:hAnsi="Arial" w:cs="Arial"/>
          <w:color w:val="auto"/>
          <w:sz w:val="16"/>
          <w:szCs w:val="16"/>
          <w:lang w:val="en-AU"/>
        </w:rPr>
      </w:pPr>
    </w:p>
    <w:p w14:paraId="30C5E4C9" w14:textId="77777777" w:rsidR="000A5CFA" w:rsidRPr="00490DCE" w:rsidRDefault="000A5CFA" w:rsidP="00492615">
      <w:pPr>
        <w:pStyle w:val="footnote"/>
        <w:rPr>
          <w:rStyle w:val="italic"/>
          <w:rFonts w:cs="Arial"/>
          <w:color w:val="auto"/>
        </w:rPr>
      </w:pPr>
      <w:r w:rsidRPr="00490DCE">
        <w:rPr>
          <w:rFonts w:cs="Arial"/>
        </w:rPr>
        <w:t>* A decision has not been made as at 30 June 2013</w:t>
      </w:r>
      <w:r w:rsidRPr="00490DCE">
        <w:rPr>
          <w:rFonts w:cs="Arial"/>
        </w:rPr>
        <w:br/>
      </w:r>
      <w:proofErr w:type="gramStart"/>
      <w:r w:rsidRPr="00490DCE">
        <w:rPr>
          <w:rFonts w:cs="Arial"/>
        </w:rPr>
        <w:t>..</w:t>
      </w:r>
      <w:proofErr w:type="gramEnd"/>
      <w:r w:rsidRPr="00490DCE">
        <w:rPr>
          <w:rFonts w:cs="Arial"/>
        </w:rPr>
        <w:t xml:space="preserve"> Not applicable</w:t>
      </w:r>
    </w:p>
    <w:p w14:paraId="32E6B5A2" w14:textId="77777777" w:rsidR="000A5CFA" w:rsidRPr="00490DCE" w:rsidRDefault="000A5CFA">
      <w:pPr>
        <w:pStyle w:val="tabletitle"/>
        <w:rPr>
          <w:rFonts w:cs="Arial"/>
        </w:rPr>
      </w:pPr>
      <w:r w:rsidRPr="00490DCE">
        <w:rPr>
          <w:rFonts w:cs="Arial"/>
        </w:rPr>
        <w:t>4.2.18 Standing Council on Transport and Infrastructure</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Transport and Infrastructure"/>
      </w:tblPr>
      <w:tblGrid>
        <w:gridCol w:w="697"/>
        <w:gridCol w:w="3559"/>
        <w:gridCol w:w="1298"/>
        <w:gridCol w:w="1430"/>
        <w:gridCol w:w="1430"/>
        <w:gridCol w:w="1434"/>
      </w:tblGrid>
      <w:tr w:rsidR="000A5CFA" w:rsidRPr="00490DCE" w14:paraId="4D299781"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57D2CDAF"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4BD60B9"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4FA5FD0A"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2DE945EC"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692C27AD"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5DFB19D9"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051B794B"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0A08F576"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33E70ACC" w14:textId="77777777" w:rsidTr="00492615">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40345D2B" w14:textId="77777777" w:rsidR="000A5CFA" w:rsidRPr="009E0739" w:rsidRDefault="000A5CFA">
            <w:pPr>
              <w:pStyle w:val="body"/>
              <w:rPr>
                <w:rFonts w:ascii="Arial" w:hAnsi="Arial" w:cs="Arial"/>
                <w:b/>
                <w:color w:val="auto"/>
              </w:rPr>
            </w:pPr>
            <w:r w:rsidRPr="009E0739">
              <w:rPr>
                <w:rStyle w:val="bold"/>
                <w:rFonts w:ascii="Arial" w:hAnsi="Arial" w:cs="Arial"/>
                <w:b/>
                <w:color w:val="auto"/>
              </w:rPr>
              <w:t>General Safety Requirements for Vessels</w:t>
            </w:r>
          </w:p>
        </w:tc>
      </w:tr>
      <w:tr w:rsidR="000A5CFA" w:rsidRPr="00490DCE" w14:paraId="395201F4" w14:textId="77777777" w:rsidTr="00492615">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195F539"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30ED5FA1"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Introduce a new national standard for domestic commercial vessels.</w:t>
            </w:r>
          </w:p>
        </w:tc>
        <w:tc>
          <w:tcPr>
            <w:cnfStyle w:val="000010000000" w:firstRow="0" w:lastRow="0" w:firstColumn="0" w:lastColumn="0" w:oddVBand="1" w:evenVBand="0" w:oddHBand="0" w:evenHBand="0" w:firstRowFirstColumn="0" w:firstRowLastColumn="0" w:lastRowFirstColumn="0" w:lastRowLastColumn="0"/>
            <w:tcW w:w="659" w:type="pct"/>
          </w:tcPr>
          <w:p w14:paraId="1D7A67C0" w14:textId="77777777" w:rsidR="000A5CFA" w:rsidRPr="00490DCE" w:rsidRDefault="000A5CFA">
            <w:pPr>
              <w:pStyle w:val="body"/>
              <w:jc w:val="center"/>
              <w:rPr>
                <w:rFonts w:ascii="Arial" w:hAnsi="Arial" w:cs="Arial"/>
                <w:color w:val="auto"/>
              </w:rPr>
            </w:pPr>
            <w:r w:rsidRPr="00490DCE">
              <w:rPr>
                <w:rFonts w:ascii="Arial" w:hAnsi="Arial" w:cs="Arial"/>
                <w:color w:val="auto"/>
              </w:rPr>
              <w:t>18 May 2012</w:t>
            </w:r>
            <w:r w:rsidRPr="00490DCE">
              <w:rPr>
                <w:rStyle w:val="super"/>
                <w:rFonts w:cs="Arial"/>
                <w:color w:val="auto"/>
              </w:rPr>
              <w:t>a</w:t>
            </w:r>
          </w:p>
        </w:tc>
        <w:tc>
          <w:tcPr>
            <w:tcW w:w="726" w:type="pct"/>
          </w:tcPr>
          <w:p w14:paraId="7BEAF66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7FFCD750" w14:textId="77777777" w:rsidR="000A5CFA" w:rsidRPr="00490DCE" w:rsidRDefault="000A5CFA">
            <w:pPr>
              <w:pStyle w:val="body"/>
              <w:jc w:val="center"/>
              <w:rPr>
                <w:rFonts w:ascii="Arial" w:hAnsi="Arial" w:cs="Arial"/>
                <w:color w:val="auto"/>
              </w:rPr>
            </w:pPr>
            <w:r w:rsidRPr="00490DCE">
              <w:rPr>
                <w:rFonts w:ascii="Arial" w:hAnsi="Arial" w:cs="Arial"/>
                <w:color w:val="auto"/>
              </w:rPr>
              <w:t>Yes</w:t>
            </w:r>
          </w:p>
        </w:tc>
        <w:tc>
          <w:tcPr>
            <w:tcW w:w="726" w:type="pct"/>
          </w:tcPr>
          <w:p w14:paraId="21DD13E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r>
    </w:tbl>
    <w:p w14:paraId="1A21B07B" w14:textId="77777777" w:rsidR="000A5CFA" w:rsidRPr="00490DCE" w:rsidRDefault="000A5CFA">
      <w:pPr>
        <w:pStyle w:val="body"/>
        <w:rPr>
          <w:rFonts w:ascii="Arial" w:hAnsi="Arial" w:cs="Arial"/>
          <w:color w:val="auto"/>
          <w:sz w:val="16"/>
          <w:szCs w:val="16"/>
          <w:lang w:val="en-AU"/>
        </w:rPr>
      </w:pPr>
    </w:p>
    <w:p w14:paraId="197C1310" w14:textId="77777777" w:rsidR="000A5CFA" w:rsidRPr="00490DCE" w:rsidRDefault="000A5CFA" w:rsidP="00492615">
      <w:pPr>
        <w:pStyle w:val="footnote"/>
        <w:rPr>
          <w:rFonts w:cs="Arial"/>
        </w:rPr>
      </w:pPr>
      <w:proofErr w:type="spellStart"/>
      <w:proofErr w:type="gramStart"/>
      <w:r w:rsidRPr="00490DCE">
        <w:rPr>
          <w:rStyle w:val="super"/>
          <w:rFonts w:cs="Arial"/>
          <w:color w:val="auto"/>
        </w:rPr>
        <w:t>a</w:t>
      </w:r>
      <w:proofErr w:type="spellEnd"/>
      <w:proofErr w:type="gramEnd"/>
      <w:r w:rsidRPr="00490DCE">
        <w:rPr>
          <w:rFonts w:cs="Arial"/>
        </w:rPr>
        <w:t xml:space="preserve"> This decision was made in May 2012, but the announcement of the decision was not made until October 2012.</w:t>
      </w:r>
    </w:p>
    <w:p w14:paraId="47F3FF04" w14:textId="77777777" w:rsidR="000A5CFA" w:rsidRPr="00490DCE" w:rsidRDefault="000A5CFA">
      <w:pPr>
        <w:pStyle w:val="tabletitle"/>
        <w:rPr>
          <w:rFonts w:cs="Arial"/>
        </w:rPr>
      </w:pPr>
      <w:r w:rsidRPr="00490DCE">
        <w:rPr>
          <w:rFonts w:cs="Arial"/>
        </w:rPr>
        <w:t>4.2.19 Select Council on Workplace Relations</w:t>
      </w:r>
    </w:p>
    <w:tbl>
      <w:tblPr>
        <w:tblStyle w:val="LightList"/>
        <w:tblW w:w="5000" w:type="pct"/>
        <w:tblLook w:val="0020" w:firstRow="1" w:lastRow="0" w:firstColumn="0" w:lastColumn="0" w:noHBand="0" w:noVBand="0"/>
        <w:tblDescription w:val="Detailed Compliance with Council of Australian Governments RIS requirements during 2012-13 - Standing Council on Workplace Relations"/>
      </w:tblPr>
      <w:tblGrid>
        <w:gridCol w:w="697"/>
        <w:gridCol w:w="3559"/>
        <w:gridCol w:w="1298"/>
        <w:gridCol w:w="1430"/>
        <w:gridCol w:w="1430"/>
        <w:gridCol w:w="1434"/>
      </w:tblGrid>
      <w:tr w:rsidR="000A5CFA" w:rsidRPr="00490DCE" w14:paraId="4F2860D5"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768B0AC0" w14:textId="77777777" w:rsidR="000A5CFA" w:rsidRPr="00490DCE" w:rsidRDefault="000A5CFA" w:rsidP="00E23705">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0383D4BB"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54" w:type="pct"/>
          </w:tcPr>
          <w:p w14:paraId="5B17B999" w14:textId="77777777" w:rsidR="000A5CFA" w:rsidRPr="00490DCE" w:rsidRDefault="000A5CFA" w:rsidP="00E23705">
            <w:pPr>
              <w:pStyle w:val="NoParagraphStyle"/>
              <w:spacing w:line="240" w:lineRule="auto"/>
              <w:textAlignment w:val="auto"/>
              <w:outlineLvl w:val="3"/>
              <w:rPr>
                <w:rFonts w:ascii="Arial" w:hAnsi="Arial" w:cs="Arial"/>
                <w:color w:val="auto"/>
                <w:lang w:val="en-US"/>
              </w:rPr>
            </w:pPr>
          </w:p>
        </w:tc>
        <w:tc>
          <w:tcPr>
            <w:tcW w:w="1807" w:type="pct"/>
          </w:tcPr>
          <w:p w14:paraId="383803D7" w14:textId="77777777" w:rsidR="000A5CFA" w:rsidRPr="0033158E" w:rsidRDefault="000A5CFA" w:rsidP="00E23705">
            <w:pPr>
              <w:pStyle w:val="tablehead"/>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i/>
                <w:color w:val="auto"/>
              </w:rPr>
            </w:pPr>
            <w:r w:rsidRPr="0033158E">
              <w:rPr>
                <w:rStyle w:val="italic"/>
                <w:rFonts w:ascii="Arial" w:hAnsi="Arial" w:cs="Arial"/>
                <w:b w:val="0"/>
                <w:i/>
                <w:color w:val="auto"/>
              </w:rPr>
              <w:t>Description of Regulatory Proposal</w:t>
            </w:r>
          </w:p>
        </w:tc>
        <w:tc>
          <w:tcPr>
            <w:cnfStyle w:val="000010000000" w:firstRow="0" w:lastRow="0" w:firstColumn="0" w:lastColumn="0" w:oddVBand="1" w:evenVBand="0" w:oddHBand="0" w:evenHBand="0" w:firstRowFirstColumn="0" w:firstRowLastColumn="0" w:lastRowFirstColumn="0" w:lastRowLastColumn="0"/>
            <w:tcW w:w="659" w:type="pct"/>
          </w:tcPr>
          <w:p w14:paraId="57F8201A"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Date of Decision</w:t>
            </w:r>
          </w:p>
        </w:tc>
        <w:tc>
          <w:tcPr>
            <w:tcW w:w="726" w:type="pct"/>
          </w:tcPr>
          <w:p w14:paraId="64F46CD8"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Compliant at Consultation</w:t>
            </w:r>
          </w:p>
        </w:tc>
        <w:tc>
          <w:tcPr>
            <w:cnfStyle w:val="000010000000" w:firstRow="0" w:lastRow="0" w:firstColumn="0" w:lastColumn="0" w:oddVBand="1" w:evenVBand="0" w:oddHBand="0" w:evenHBand="0" w:firstRowFirstColumn="0" w:firstRowLastColumn="0" w:lastRowFirstColumn="0" w:lastRowLastColumn="0"/>
            <w:tcW w:w="726" w:type="pct"/>
          </w:tcPr>
          <w:p w14:paraId="10008DC9" w14:textId="77777777" w:rsidR="000A5CFA" w:rsidRPr="0033158E" w:rsidRDefault="000A5CFA" w:rsidP="00E23705">
            <w:pPr>
              <w:pStyle w:val="tablehead"/>
              <w:jc w:val="center"/>
              <w:outlineLvl w:val="3"/>
              <w:rPr>
                <w:rFonts w:ascii="Arial" w:hAnsi="Arial" w:cs="Arial"/>
                <w:b w:val="0"/>
                <w:color w:val="auto"/>
              </w:rPr>
            </w:pPr>
            <w:r w:rsidRPr="0033158E">
              <w:rPr>
                <w:rStyle w:val="bold"/>
                <w:rFonts w:ascii="Arial" w:hAnsi="Arial" w:cs="Arial"/>
                <w:b w:val="0"/>
                <w:color w:val="auto"/>
              </w:rPr>
              <w:t>Compliant at Decision</w:t>
            </w:r>
          </w:p>
        </w:tc>
        <w:tc>
          <w:tcPr>
            <w:tcW w:w="726" w:type="pct"/>
          </w:tcPr>
          <w:p w14:paraId="004C2068" w14:textId="77777777" w:rsidR="000A5CFA" w:rsidRPr="0033158E" w:rsidRDefault="000A5CFA" w:rsidP="00E23705">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Final RIS Published</w:t>
            </w:r>
          </w:p>
        </w:tc>
      </w:tr>
      <w:tr w:rsidR="000A5CFA" w:rsidRPr="00490DCE" w14:paraId="467D2406" w14:textId="77777777" w:rsidTr="007C5FF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5000" w:type="pct"/>
            <w:gridSpan w:val="6"/>
          </w:tcPr>
          <w:p w14:paraId="7384BE15" w14:textId="77777777" w:rsidR="000A5CFA" w:rsidRPr="009E0739" w:rsidRDefault="000A5CFA">
            <w:pPr>
              <w:pStyle w:val="body"/>
              <w:rPr>
                <w:rFonts w:ascii="Arial" w:hAnsi="Arial" w:cs="Arial"/>
                <w:b/>
                <w:color w:val="auto"/>
              </w:rPr>
            </w:pPr>
            <w:r w:rsidRPr="009E0739">
              <w:rPr>
                <w:rStyle w:val="bold"/>
                <w:rFonts w:ascii="Arial" w:hAnsi="Arial" w:cs="Arial"/>
                <w:b/>
                <w:color w:val="auto"/>
              </w:rPr>
              <w:t>Preventing and Responding to Workplace Bullying</w:t>
            </w:r>
          </w:p>
        </w:tc>
      </w:tr>
      <w:tr w:rsidR="000A5CFA" w:rsidRPr="00490DCE" w14:paraId="2BA64464" w14:textId="77777777" w:rsidTr="007C5FF9">
        <w:trPr>
          <w:trHeight w:val="60"/>
        </w:trPr>
        <w:tc>
          <w:tcPr>
            <w:cnfStyle w:val="000010000000" w:firstRow="0" w:lastRow="0" w:firstColumn="0" w:lastColumn="0" w:oddVBand="1" w:evenVBand="0" w:oddHBand="0" w:evenHBand="0" w:firstRowFirstColumn="0" w:firstRowLastColumn="0" w:lastRowFirstColumn="0" w:lastRowLastColumn="0"/>
            <w:tcW w:w="354" w:type="pct"/>
          </w:tcPr>
          <w:p w14:paraId="49DBDF8F" w14:textId="77777777" w:rsidR="000A5CFA" w:rsidRPr="00490DCE" w:rsidRDefault="000A5CFA">
            <w:pPr>
              <w:pStyle w:val="NoParagraphStyle"/>
              <w:spacing w:line="240" w:lineRule="auto"/>
              <w:textAlignment w:val="auto"/>
              <w:rPr>
                <w:rFonts w:ascii="Arial" w:hAnsi="Arial" w:cs="Arial"/>
                <w:color w:val="auto"/>
                <w:lang w:val="en-US"/>
              </w:rPr>
            </w:pPr>
          </w:p>
        </w:tc>
        <w:tc>
          <w:tcPr>
            <w:tcW w:w="1807" w:type="pct"/>
          </w:tcPr>
          <w:p w14:paraId="131C4193" w14:textId="77777777" w:rsidR="000A5CFA" w:rsidRPr="009E0739" w:rsidRDefault="000A5CFA">
            <w:pPr>
              <w:pStyle w:val="body"/>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r w:rsidRPr="009E0739">
              <w:rPr>
                <w:rStyle w:val="italic"/>
                <w:rFonts w:ascii="Arial" w:hAnsi="Arial" w:cs="Arial"/>
                <w:i/>
                <w:color w:val="auto"/>
              </w:rPr>
              <w:t>Options for preventing and responding to workplace bullying.</w:t>
            </w:r>
          </w:p>
        </w:tc>
        <w:tc>
          <w:tcPr>
            <w:cnfStyle w:val="000010000000" w:firstRow="0" w:lastRow="0" w:firstColumn="0" w:lastColumn="0" w:oddVBand="1" w:evenVBand="0" w:oddHBand="0" w:evenHBand="0" w:firstRowFirstColumn="0" w:firstRowLastColumn="0" w:lastRowFirstColumn="0" w:lastRowLastColumn="0"/>
            <w:tcW w:w="659" w:type="pct"/>
          </w:tcPr>
          <w:p w14:paraId="3E0C68F6"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7D2386E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Yes</w:t>
            </w:r>
          </w:p>
        </w:tc>
        <w:tc>
          <w:tcPr>
            <w:cnfStyle w:val="000010000000" w:firstRow="0" w:lastRow="0" w:firstColumn="0" w:lastColumn="0" w:oddVBand="1" w:evenVBand="0" w:oddHBand="0" w:evenHBand="0" w:firstRowFirstColumn="0" w:firstRowLastColumn="0" w:lastRowFirstColumn="0" w:lastRowLastColumn="0"/>
            <w:tcW w:w="726" w:type="pct"/>
          </w:tcPr>
          <w:p w14:paraId="56FBF89B"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726" w:type="pct"/>
          </w:tcPr>
          <w:p w14:paraId="1B7D294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w:t>
            </w:r>
          </w:p>
        </w:tc>
      </w:tr>
    </w:tbl>
    <w:p w14:paraId="249A8CDE" w14:textId="77777777" w:rsidR="000A5CFA" w:rsidRPr="00490DCE" w:rsidRDefault="000A5CFA">
      <w:pPr>
        <w:pStyle w:val="body"/>
        <w:rPr>
          <w:rFonts w:ascii="Arial" w:hAnsi="Arial" w:cs="Arial"/>
          <w:color w:val="auto"/>
          <w:sz w:val="16"/>
          <w:szCs w:val="16"/>
          <w:lang w:val="en-AU"/>
        </w:rPr>
      </w:pPr>
    </w:p>
    <w:p w14:paraId="581AE0A3" w14:textId="77777777" w:rsidR="000A5CFA" w:rsidRPr="00490DCE" w:rsidRDefault="000A5CFA">
      <w:pPr>
        <w:pStyle w:val="note"/>
        <w:rPr>
          <w:rStyle w:val="italic"/>
          <w:rFonts w:cs="Arial"/>
          <w:color w:val="auto"/>
        </w:rPr>
      </w:pPr>
      <w:r w:rsidRPr="00490DCE">
        <w:rPr>
          <w:rFonts w:cs="Arial"/>
          <w:color w:val="auto"/>
        </w:rPr>
        <w:t>* A decision has not been made as at 30 June 2013</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0194B217" w14:textId="77777777" w:rsidR="000A5CFA" w:rsidRPr="00490DCE" w:rsidRDefault="00E804F7" w:rsidP="00E804F7">
      <w:pPr>
        <w:pStyle w:val="Heading2"/>
        <w:rPr>
          <w:rFonts w:cs="Arial"/>
        </w:rPr>
      </w:pPr>
      <w:r w:rsidRPr="00490DCE">
        <w:rPr>
          <w:rFonts w:cs="Arial"/>
          <w:lang w:val="en-US"/>
        </w:rPr>
        <w:br w:type="page"/>
      </w:r>
      <w:r w:rsidR="000A5CFA" w:rsidRPr="00490DCE">
        <w:rPr>
          <w:rFonts w:cs="Arial"/>
          <w:lang w:val="en-US"/>
        </w:rPr>
        <w:lastRenderedPageBreak/>
        <w:t xml:space="preserve">5. </w:t>
      </w:r>
      <w:r w:rsidR="000A5CFA" w:rsidRPr="00490DCE">
        <w:rPr>
          <w:rFonts w:cs="Arial"/>
        </w:rPr>
        <w:t>Post-implementation Review Status by Portfolio</w:t>
      </w:r>
    </w:p>
    <w:p w14:paraId="4080DB72" w14:textId="77777777" w:rsidR="000A5CFA" w:rsidRPr="00490DCE" w:rsidRDefault="000A5CFA">
      <w:pPr>
        <w:pStyle w:val="body"/>
        <w:rPr>
          <w:rFonts w:ascii="Arial" w:hAnsi="Arial" w:cs="Arial"/>
          <w:color w:val="auto"/>
        </w:rPr>
      </w:pPr>
      <w:r w:rsidRPr="00490DCE">
        <w:rPr>
          <w:rFonts w:ascii="Arial" w:hAnsi="Arial" w:cs="Arial"/>
          <w:color w:val="auto"/>
        </w:rPr>
        <w:t>This chapter provides a description of regulations that require a post-implementation review (PIR) as at 30 June 2013. The information on the proposed date of commencement of the PIR, its status and compliance is also provided. PIRs from previous years which have not previously been completed and published are also listed.</w:t>
      </w:r>
    </w:p>
    <w:p w14:paraId="2A6F7C02" w14:textId="77777777" w:rsidR="000A5CFA" w:rsidRPr="00490DCE" w:rsidRDefault="000A5CFA">
      <w:pPr>
        <w:pStyle w:val="body"/>
        <w:rPr>
          <w:rFonts w:ascii="Arial" w:hAnsi="Arial" w:cs="Arial"/>
          <w:color w:val="auto"/>
        </w:rPr>
      </w:pPr>
      <w:r w:rsidRPr="00490DCE">
        <w:rPr>
          <w:rFonts w:ascii="Arial" w:hAnsi="Arial" w:cs="Arial"/>
          <w:color w:val="auto"/>
        </w:rPr>
        <w:t xml:space="preserve">There are eighteen departments or agencies that are required to undertake PIRs. Treasury is required to undertake thirty PIRs, while Education, Employment and Workplace Relations is required to undertake thirteen and Broadband Communications and the Digital Economy twelve. </w:t>
      </w:r>
    </w:p>
    <w:p w14:paraId="11F524A2" w14:textId="77777777" w:rsidR="000A5CFA" w:rsidRPr="00490DCE" w:rsidRDefault="000A5CFA">
      <w:pPr>
        <w:pStyle w:val="body"/>
        <w:rPr>
          <w:rFonts w:ascii="Arial" w:hAnsi="Arial" w:cs="Arial"/>
          <w:color w:val="auto"/>
        </w:rPr>
      </w:pPr>
      <w:r w:rsidRPr="00490DCE">
        <w:rPr>
          <w:rFonts w:ascii="Arial" w:hAnsi="Arial" w:cs="Arial"/>
          <w:color w:val="auto"/>
        </w:rPr>
        <w:t>The three departments with non-compliant PIRs are Health and Ageing, Infrastructure and Transport, and Treasury.</w:t>
      </w:r>
    </w:p>
    <w:p w14:paraId="048B0E68" w14:textId="77777777" w:rsidR="000A5CFA" w:rsidRPr="00490DCE" w:rsidRDefault="000A5CFA">
      <w:pPr>
        <w:pStyle w:val="body"/>
        <w:rPr>
          <w:rFonts w:ascii="Arial" w:hAnsi="Arial" w:cs="Arial"/>
          <w:color w:val="auto"/>
          <w:spacing w:val="-2"/>
        </w:rPr>
      </w:pPr>
      <w:r w:rsidRPr="00490DCE">
        <w:rPr>
          <w:rFonts w:ascii="Arial" w:hAnsi="Arial" w:cs="Arial"/>
          <w:color w:val="auto"/>
          <w:spacing w:val="-2"/>
        </w:rPr>
        <w:t>There are nine PIRs due to commence in 2013–14, two of which have started. Treasury is responsible for four of these PIRs, and Broadband Communications and the Digital Economy three.</w:t>
      </w:r>
    </w:p>
    <w:p w14:paraId="65B45E0E" w14:textId="77777777" w:rsidR="000A5CFA" w:rsidRPr="00490DCE" w:rsidRDefault="000A5CFA">
      <w:pPr>
        <w:pStyle w:val="body"/>
        <w:rPr>
          <w:rFonts w:ascii="Arial" w:hAnsi="Arial" w:cs="Arial"/>
          <w:color w:val="auto"/>
        </w:rPr>
      </w:pPr>
      <w:r w:rsidRPr="00490DCE">
        <w:rPr>
          <w:rFonts w:ascii="Arial" w:hAnsi="Arial" w:cs="Arial"/>
          <w:color w:val="auto"/>
        </w:rPr>
        <w:t>A PIR must commence within one to two years of the implementation of the regulation and, once commenced, should be completed within reasonable timeframes, taking into consideration the scope of the policy implemented. If a PIR is not completed within a reasonable timeframe, the OBPR may deem the responsible agency to be non-compliant with the Government’s PIR requirements. Until such time, the agency is regarded as being compliant with the PIR requirements, and is reported as such in the following tables.</w:t>
      </w:r>
    </w:p>
    <w:p w14:paraId="53893AB7" w14:textId="77777777" w:rsidR="000A5CFA" w:rsidRPr="00490DCE" w:rsidRDefault="000A5CFA">
      <w:pPr>
        <w:pStyle w:val="tabletitle"/>
        <w:rPr>
          <w:rFonts w:cs="Arial"/>
        </w:rPr>
      </w:pPr>
      <w:r w:rsidRPr="00490DCE">
        <w:rPr>
          <w:rFonts w:cs="Arial"/>
          <w:lang w:val="en-US"/>
        </w:rPr>
        <w:t xml:space="preserve">Table 5.1: </w:t>
      </w:r>
      <w:r w:rsidRPr="00490DCE">
        <w:rPr>
          <w:rFonts w:cs="Arial"/>
        </w:rPr>
        <w:t>Post-implementation review compliance by department or agency</w:t>
      </w:r>
    </w:p>
    <w:tbl>
      <w:tblPr>
        <w:tblStyle w:val="LightList"/>
        <w:tblW w:w="5000" w:type="pct"/>
        <w:tblLook w:val="0020" w:firstRow="1" w:lastRow="0" w:firstColumn="0" w:lastColumn="0" w:noHBand="0" w:noVBand="0"/>
        <w:tblDescription w:val="Post-implementation Review compliance"/>
      </w:tblPr>
      <w:tblGrid>
        <w:gridCol w:w="7503"/>
        <w:gridCol w:w="1096"/>
        <w:gridCol w:w="1249"/>
      </w:tblGrid>
      <w:tr w:rsidR="000A5CFA" w:rsidRPr="00490DCE" w14:paraId="75C46E9A" w14:textId="77777777" w:rsidTr="0023720F">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3815" w:type="pct"/>
          </w:tcPr>
          <w:p w14:paraId="529E7371" w14:textId="77777777" w:rsidR="000A5CFA" w:rsidRPr="00490DCE" w:rsidRDefault="000A5CFA" w:rsidP="00807131">
            <w:pPr>
              <w:pStyle w:val="tablehead"/>
              <w:outlineLvl w:val="3"/>
              <w:rPr>
                <w:rFonts w:ascii="Arial" w:hAnsi="Arial" w:cs="Arial"/>
                <w:color w:val="auto"/>
              </w:rPr>
            </w:pPr>
            <w:r w:rsidRPr="00490DCE">
              <w:rPr>
                <w:rFonts w:ascii="Arial" w:hAnsi="Arial" w:cs="Arial"/>
                <w:color w:val="auto"/>
              </w:rPr>
              <w:t>Department/ Agency</w:t>
            </w:r>
          </w:p>
        </w:tc>
        <w:tc>
          <w:tcPr>
            <w:tcW w:w="546" w:type="pct"/>
          </w:tcPr>
          <w:p w14:paraId="23BFA4A6" w14:textId="77777777" w:rsidR="000A5CFA" w:rsidRPr="00490DCE" w:rsidRDefault="000A5CFA" w:rsidP="00807131">
            <w:pPr>
              <w:pStyle w:val="tablehead"/>
              <w:jc w:val="right"/>
              <w:outlineLvl w:val="3"/>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Compliant</w:t>
            </w:r>
          </w:p>
        </w:tc>
        <w:tc>
          <w:tcPr>
            <w:cnfStyle w:val="000010000000" w:firstRow="0" w:lastRow="0" w:firstColumn="0" w:lastColumn="0" w:oddVBand="1" w:evenVBand="0" w:oddHBand="0" w:evenHBand="0" w:firstRowFirstColumn="0" w:firstRowLastColumn="0" w:lastRowFirstColumn="0" w:lastRowLastColumn="0"/>
            <w:tcW w:w="639" w:type="pct"/>
          </w:tcPr>
          <w:p w14:paraId="0A1C2BAE" w14:textId="77777777" w:rsidR="000A5CFA" w:rsidRPr="00490DCE" w:rsidRDefault="000A5CFA" w:rsidP="00807131">
            <w:pPr>
              <w:pStyle w:val="tablehead"/>
              <w:jc w:val="right"/>
              <w:outlineLvl w:val="3"/>
              <w:rPr>
                <w:rFonts w:ascii="Arial" w:hAnsi="Arial" w:cs="Arial"/>
                <w:color w:val="auto"/>
              </w:rPr>
            </w:pPr>
            <w:r w:rsidRPr="00490DCE">
              <w:rPr>
                <w:rFonts w:ascii="Arial" w:hAnsi="Arial" w:cs="Arial"/>
                <w:color w:val="auto"/>
              </w:rPr>
              <w:t>Non-compliant</w:t>
            </w:r>
          </w:p>
        </w:tc>
      </w:tr>
      <w:tr w:rsidR="000A5CFA" w:rsidRPr="00490DCE" w14:paraId="5B9FAA2F" w14:textId="77777777" w:rsidTr="00775ABB">
        <w:trPr>
          <w:cnfStyle w:val="000000100000" w:firstRow="0" w:lastRow="0" w:firstColumn="0" w:lastColumn="0" w:oddVBand="0" w:evenVBand="0" w:oddHBand="1" w:evenHBand="0" w:firstRowFirstColumn="0" w:firstRowLastColumn="0" w:lastRowFirstColumn="0" w:lastRowLastColumn="0"/>
          <w:trHeight w:val="305"/>
        </w:trPr>
        <w:tc>
          <w:tcPr>
            <w:cnfStyle w:val="000010000000" w:firstRow="0" w:lastRow="0" w:firstColumn="0" w:lastColumn="0" w:oddVBand="1" w:evenVBand="0" w:oddHBand="0" w:evenHBand="0" w:firstRowFirstColumn="0" w:firstRowLastColumn="0" w:lastRowFirstColumn="0" w:lastRowLastColumn="0"/>
            <w:tcW w:w="3815" w:type="pct"/>
          </w:tcPr>
          <w:p w14:paraId="0BD3F339" w14:textId="77777777" w:rsidR="000A5CFA" w:rsidRPr="00490DCE" w:rsidRDefault="000A5CFA">
            <w:pPr>
              <w:pStyle w:val="body"/>
              <w:rPr>
                <w:rFonts w:ascii="Arial" w:hAnsi="Arial" w:cs="Arial"/>
                <w:color w:val="auto"/>
              </w:rPr>
            </w:pPr>
            <w:r w:rsidRPr="00490DCE">
              <w:rPr>
                <w:rFonts w:ascii="Arial" w:hAnsi="Arial" w:cs="Arial"/>
                <w:color w:val="auto"/>
              </w:rPr>
              <w:t>Australian Fisheries Management Authority</w:t>
            </w:r>
          </w:p>
        </w:tc>
        <w:tc>
          <w:tcPr>
            <w:tcW w:w="546" w:type="pct"/>
          </w:tcPr>
          <w:p w14:paraId="5D268D20"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39" w:type="pct"/>
          </w:tcPr>
          <w:p w14:paraId="2B00E00A"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2CCECA36" w14:textId="77777777" w:rsidTr="00775ABB">
        <w:trPr>
          <w:trHeight w:val="305"/>
        </w:trPr>
        <w:tc>
          <w:tcPr>
            <w:cnfStyle w:val="000010000000" w:firstRow="0" w:lastRow="0" w:firstColumn="0" w:lastColumn="0" w:oddVBand="1" w:evenVBand="0" w:oddHBand="0" w:evenHBand="0" w:firstRowFirstColumn="0" w:firstRowLastColumn="0" w:lastRowFirstColumn="0" w:lastRowLastColumn="0"/>
            <w:tcW w:w="3815" w:type="pct"/>
          </w:tcPr>
          <w:p w14:paraId="1750C304" w14:textId="77777777" w:rsidR="000A5CFA" w:rsidRPr="00490DCE" w:rsidRDefault="000A5CFA">
            <w:pPr>
              <w:pStyle w:val="body"/>
              <w:rPr>
                <w:rFonts w:ascii="Arial" w:hAnsi="Arial" w:cs="Arial"/>
                <w:color w:val="auto"/>
              </w:rPr>
            </w:pPr>
            <w:r w:rsidRPr="00490DCE">
              <w:rPr>
                <w:rFonts w:ascii="Arial" w:hAnsi="Arial" w:cs="Arial"/>
                <w:color w:val="auto"/>
              </w:rPr>
              <w:t>Attorney-General’s Department</w:t>
            </w:r>
          </w:p>
        </w:tc>
        <w:tc>
          <w:tcPr>
            <w:tcW w:w="546" w:type="pct"/>
          </w:tcPr>
          <w:p w14:paraId="10562030"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639" w:type="pct"/>
          </w:tcPr>
          <w:p w14:paraId="531D7999"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A0662C5"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1430351D" w14:textId="77777777" w:rsidR="000A5CFA" w:rsidRPr="00490DCE" w:rsidRDefault="000A5CFA">
            <w:pPr>
              <w:pStyle w:val="body"/>
              <w:rPr>
                <w:rFonts w:ascii="Arial" w:hAnsi="Arial" w:cs="Arial"/>
                <w:color w:val="auto"/>
              </w:rPr>
            </w:pPr>
            <w:r w:rsidRPr="00490DCE">
              <w:rPr>
                <w:rFonts w:ascii="Arial" w:hAnsi="Arial" w:cs="Arial"/>
                <w:color w:val="auto"/>
              </w:rPr>
              <w:t>Australian Accounting Standards Board</w:t>
            </w:r>
          </w:p>
        </w:tc>
        <w:tc>
          <w:tcPr>
            <w:tcW w:w="546" w:type="pct"/>
          </w:tcPr>
          <w:p w14:paraId="1872558E"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7548EF04"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26A7DF6D"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3207CBDA" w14:textId="77777777" w:rsidR="000A5CFA" w:rsidRPr="00490DCE" w:rsidRDefault="000A5CFA">
            <w:pPr>
              <w:pStyle w:val="body"/>
              <w:rPr>
                <w:rFonts w:ascii="Arial" w:hAnsi="Arial" w:cs="Arial"/>
                <w:color w:val="auto"/>
              </w:rPr>
            </w:pPr>
            <w:r w:rsidRPr="00490DCE">
              <w:rPr>
                <w:rFonts w:ascii="Arial" w:hAnsi="Arial" w:cs="Arial"/>
                <w:color w:val="auto"/>
              </w:rPr>
              <w:t>Australian Communications Media Authority</w:t>
            </w:r>
          </w:p>
        </w:tc>
        <w:tc>
          <w:tcPr>
            <w:tcW w:w="546" w:type="pct"/>
          </w:tcPr>
          <w:p w14:paraId="70242B15"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3695AA02"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7F4E136"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11332421" w14:textId="77777777" w:rsidR="000A5CFA" w:rsidRPr="00490DCE" w:rsidRDefault="000A5CFA">
            <w:pPr>
              <w:pStyle w:val="body"/>
              <w:rPr>
                <w:rFonts w:ascii="Arial" w:hAnsi="Arial" w:cs="Arial"/>
                <w:color w:val="auto"/>
              </w:rPr>
            </w:pPr>
            <w:r w:rsidRPr="00490DCE">
              <w:rPr>
                <w:rFonts w:ascii="Arial" w:hAnsi="Arial" w:cs="Arial"/>
                <w:color w:val="auto"/>
              </w:rPr>
              <w:t>Australian Securities and Investments Commission</w:t>
            </w:r>
          </w:p>
        </w:tc>
        <w:tc>
          <w:tcPr>
            <w:tcW w:w="546" w:type="pct"/>
          </w:tcPr>
          <w:p w14:paraId="71FDBD0F"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39" w:type="pct"/>
          </w:tcPr>
          <w:p w14:paraId="2E4AD5B2"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44438B05"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58709C66" w14:textId="77777777" w:rsidR="000A5CFA" w:rsidRPr="00490DCE" w:rsidRDefault="000A5CFA">
            <w:pPr>
              <w:pStyle w:val="body"/>
              <w:rPr>
                <w:rFonts w:ascii="Arial" w:hAnsi="Arial" w:cs="Arial"/>
                <w:color w:val="auto"/>
              </w:rPr>
            </w:pPr>
            <w:r w:rsidRPr="00490DCE">
              <w:rPr>
                <w:rFonts w:ascii="Arial" w:hAnsi="Arial" w:cs="Arial"/>
                <w:color w:val="auto"/>
              </w:rPr>
              <w:t>Australian Transaction Reports and Analysis Centre</w:t>
            </w:r>
          </w:p>
        </w:tc>
        <w:tc>
          <w:tcPr>
            <w:tcW w:w="546" w:type="pct"/>
          </w:tcPr>
          <w:p w14:paraId="732CCF57"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39" w:type="pct"/>
          </w:tcPr>
          <w:p w14:paraId="191B3817"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2EC5AD68"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6E390F49" w14:textId="77777777" w:rsidR="000A5CFA" w:rsidRPr="00490DCE" w:rsidRDefault="000A5CFA">
            <w:pPr>
              <w:pStyle w:val="body"/>
              <w:rPr>
                <w:rFonts w:ascii="Arial" w:hAnsi="Arial" w:cs="Arial"/>
                <w:color w:val="auto"/>
              </w:rPr>
            </w:pPr>
            <w:r w:rsidRPr="00490DCE">
              <w:rPr>
                <w:rFonts w:ascii="Arial" w:hAnsi="Arial" w:cs="Arial"/>
                <w:color w:val="auto"/>
              </w:rPr>
              <w:t>Broadband, Communications and the Digital Economy</w:t>
            </w:r>
          </w:p>
        </w:tc>
        <w:tc>
          <w:tcPr>
            <w:tcW w:w="546" w:type="pct"/>
          </w:tcPr>
          <w:p w14:paraId="1E0C66DF"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12</w:t>
            </w:r>
          </w:p>
        </w:tc>
        <w:tc>
          <w:tcPr>
            <w:cnfStyle w:val="000010000000" w:firstRow="0" w:lastRow="0" w:firstColumn="0" w:lastColumn="0" w:oddVBand="1" w:evenVBand="0" w:oddHBand="0" w:evenHBand="0" w:firstRowFirstColumn="0" w:firstRowLastColumn="0" w:lastRowFirstColumn="0" w:lastRowLastColumn="0"/>
            <w:tcW w:w="639" w:type="pct"/>
          </w:tcPr>
          <w:p w14:paraId="5CD33C85"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60FF9E72" w14:textId="77777777" w:rsidTr="00775ABB">
        <w:trPr>
          <w:trHeight w:val="281"/>
        </w:trPr>
        <w:tc>
          <w:tcPr>
            <w:cnfStyle w:val="000010000000" w:firstRow="0" w:lastRow="0" w:firstColumn="0" w:lastColumn="0" w:oddVBand="1" w:evenVBand="0" w:oddHBand="0" w:evenHBand="0" w:firstRowFirstColumn="0" w:firstRowLastColumn="0" w:lastRowFirstColumn="0" w:lastRowLastColumn="0"/>
            <w:tcW w:w="3815" w:type="pct"/>
          </w:tcPr>
          <w:p w14:paraId="709A489E" w14:textId="77777777" w:rsidR="000A5CFA" w:rsidRPr="00490DCE" w:rsidRDefault="000A5CFA">
            <w:pPr>
              <w:pStyle w:val="body"/>
              <w:rPr>
                <w:rFonts w:ascii="Arial" w:hAnsi="Arial" w:cs="Arial"/>
                <w:color w:val="auto"/>
              </w:rPr>
            </w:pPr>
            <w:r w:rsidRPr="00490DCE">
              <w:rPr>
                <w:rFonts w:ascii="Arial" w:hAnsi="Arial" w:cs="Arial"/>
                <w:color w:val="auto"/>
              </w:rPr>
              <w:t>Defence</w:t>
            </w:r>
          </w:p>
        </w:tc>
        <w:tc>
          <w:tcPr>
            <w:tcW w:w="546" w:type="pct"/>
          </w:tcPr>
          <w:p w14:paraId="69E0CD6E"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39" w:type="pct"/>
          </w:tcPr>
          <w:p w14:paraId="7035F4DC"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10E659AC" w14:textId="77777777" w:rsidTr="00775ABB">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3815" w:type="pct"/>
          </w:tcPr>
          <w:p w14:paraId="496E6570" w14:textId="77777777" w:rsidR="000A5CFA" w:rsidRPr="00490DCE" w:rsidRDefault="000A5CFA">
            <w:pPr>
              <w:pStyle w:val="body"/>
              <w:rPr>
                <w:rFonts w:ascii="Arial" w:hAnsi="Arial" w:cs="Arial"/>
                <w:color w:val="auto"/>
              </w:rPr>
            </w:pPr>
            <w:r w:rsidRPr="00490DCE">
              <w:rPr>
                <w:rFonts w:ascii="Arial" w:hAnsi="Arial" w:cs="Arial"/>
                <w:color w:val="auto"/>
              </w:rPr>
              <w:t>Education, Employment and Workplace Relations</w:t>
            </w:r>
          </w:p>
        </w:tc>
        <w:tc>
          <w:tcPr>
            <w:tcW w:w="546" w:type="pct"/>
          </w:tcPr>
          <w:p w14:paraId="2B36545A"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13</w:t>
            </w:r>
          </w:p>
        </w:tc>
        <w:tc>
          <w:tcPr>
            <w:cnfStyle w:val="000010000000" w:firstRow="0" w:lastRow="0" w:firstColumn="0" w:lastColumn="0" w:oddVBand="1" w:evenVBand="0" w:oddHBand="0" w:evenHBand="0" w:firstRowFirstColumn="0" w:firstRowLastColumn="0" w:lastRowFirstColumn="0" w:lastRowLastColumn="0"/>
            <w:tcW w:w="639" w:type="pct"/>
          </w:tcPr>
          <w:p w14:paraId="5E4ED24A"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4B0BE1DF" w14:textId="77777777" w:rsidTr="00775ABB">
        <w:trPr>
          <w:trHeight w:val="281"/>
        </w:trPr>
        <w:tc>
          <w:tcPr>
            <w:cnfStyle w:val="000010000000" w:firstRow="0" w:lastRow="0" w:firstColumn="0" w:lastColumn="0" w:oddVBand="1" w:evenVBand="0" w:oddHBand="0" w:evenHBand="0" w:firstRowFirstColumn="0" w:firstRowLastColumn="0" w:lastRowFirstColumn="0" w:lastRowLastColumn="0"/>
            <w:tcW w:w="3815" w:type="pct"/>
          </w:tcPr>
          <w:p w14:paraId="700AC777" w14:textId="77777777" w:rsidR="000A5CFA" w:rsidRPr="00490DCE" w:rsidRDefault="000A5CFA">
            <w:pPr>
              <w:pStyle w:val="body"/>
              <w:rPr>
                <w:rFonts w:ascii="Arial" w:hAnsi="Arial" w:cs="Arial"/>
                <w:color w:val="auto"/>
              </w:rPr>
            </w:pPr>
            <w:r w:rsidRPr="00490DCE">
              <w:rPr>
                <w:rFonts w:ascii="Arial" w:hAnsi="Arial" w:cs="Arial"/>
                <w:color w:val="auto"/>
              </w:rPr>
              <w:t>Families, Housing, Community Services and Indigenous Affairs</w:t>
            </w:r>
          </w:p>
        </w:tc>
        <w:tc>
          <w:tcPr>
            <w:tcW w:w="546" w:type="pct"/>
          </w:tcPr>
          <w:p w14:paraId="689311F8"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4</w:t>
            </w:r>
          </w:p>
        </w:tc>
        <w:tc>
          <w:tcPr>
            <w:cnfStyle w:val="000010000000" w:firstRow="0" w:lastRow="0" w:firstColumn="0" w:lastColumn="0" w:oddVBand="1" w:evenVBand="0" w:oddHBand="0" w:evenHBand="0" w:firstRowFirstColumn="0" w:firstRowLastColumn="0" w:lastRowFirstColumn="0" w:lastRowLastColumn="0"/>
            <w:tcW w:w="639" w:type="pct"/>
          </w:tcPr>
          <w:p w14:paraId="6D254D1A"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6F6AB7F"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21E4F291" w14:textId="77777777" w:rsidR="000A5CFA" w:rsidRPr="00490DCE" w:rsidRDefault="000A5CFA">
            <w:pPr>
              <w:pStyle w:val="body"/>
              <w:rPr>
                <w:rFonts w:ascii="Arial" w:hAnsi="Arial" w:cs="Arial"/>
                <w:color w:val="auto"/>
              </w:rPr>
            </w:pPr>
            <w:r w:rsidRPr="00490DCE">
              <w:rPr>
                <w:rFonts w:ascii="Arial" w:hAnsi="Arial" w:cs="Arial"/>
                <w:color w:val="auto"/>
              </w:rPr>
              <w:t>Health and Ageing</w:t>
            </w:r>
          </w:p>
        </w:tc>
        <w:tc>
          <w:tcPr>
            <w:tcW w:w="546" w:type="pct"/>
          </w:tcPr>
          <w:p w14:paraId="673A743F"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4</w:t>
            </w:r>
          </w:p>
        </w:tc>
        <w:tc>
          <w:tcPr>
            <w:cnfStyle w:val="000010000000" w:firstRow="0" w:lastRow="0" w:firstColumn="0" w:lastColumn="0" w:oddVBand="1" w:evenVBand="0" w:oddHBand="0" w:evenHBand="0" w:firstRowFirstColumn="0" w:firstRowLastColumn="0" w:lastRowFirstColumn="0" w:lastRowLastColumn="0"/>
            <w:tcW w:w="639" w:type="pct"/>
          </w:tcPr>
          <w:p w14:paraId="488A9158" w14:textId="77777777" w:rsidR="000A5CFA" w:rsidRPr="00490DCE" w:rsidRDefault="000A5CFA">
            <w:pPr>
              <w:pStyle w:val="body"/>
              <w:jc w:val="right"/>
              <w:rPr>
                <w:rFonts w:ascii="Arial" w:hAnsi="Arial" w:cs="Arial"/>
                <w:color w:val="auto"/>
              </w:rPr>
            </w:pPr>
            <w:r w:rsidRPr="00490DCE">
              <w:rPr>
                <w:rFonts w:ascii="Arial" w:hAnsi="Arial" w:cs="Arial"/>
                <w:color w:val="auto"/>
              </w:rPr>
              <w:t>1</w:t>
            </w:r>
          </w:p>
        </w:tc>
      </w:tr>
      <w:tr w:rsidR="000A5CFA" w:rsidRPr="00490DCE" w14:paraId="53CDCDFA"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401DE866" w14:textId="77777777" w:rsidR="000A5CFA" w:rsidRPr="00490DCE" w:rsidRDefault="000A5CFA">
            <w:pPr>
              <w:pStyle w:val="body"/>
              <w:rPr>
                <w:rFonts w:ascii="Arial" w:hAnsi="Arial" w:cs="Arial"/>
                <w:color w:val="auto"/>
              </w:rPr>
            </w:pPr>
            <w:r w:rsidRPr="00490DCE">
              <w:rPr>
                <w:rFonts w:ascii="Arial" w:hAnsi="Arial" w:cs="Arial"/>
                <w:color w:val="auto"/>
              </w:rPr>
              <w:t>Immigration and Citizenship</w:t>
            </w:r>
          </w:p>
        </w:tc>
        <w:tc>
          <w:tcPr>
            <w:tcW w:w="546" w:type="pct"/>
          </w:tcPr>
          <w:p w14:paraId="566972E9"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266A3707"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399DD923"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1963BFC5" w14:textId="77777777" w:rsidR="000A5CFA" w:rsidRPr="00490DCE" w:rsidRDefault="000A5CFA">
            <w:pPr>
              <w:pStyle w:val="body"/>
              <w:rPr>
                <w:rFonts w:ascii="Arial" w:hAnsi="Arial" w:cs="Arial"/>
                <w:color w:val="auto"/>
              </w:rPr>
            </w:pPr>
            <w:r w:rsidRPr="00490DCE">
              <w:rPr>
                <w:rFonts w:ascii="Arial" w:hAnsi="Arial" w:cs="Arial"/>
                <w:color w:val="auto"/>
                <w:spacing w:val="-5"/>
              </w:rPr>
              <w:t>Industry, Innovation, Climate Change, Science, Research and Tertiary Education</w:t>
            </w:r>
          </w:p>
        </w:tc>
        <w:tc>
          <w:tcPr>
            <w:tcW w:w="546" w:type="pct"/>
          </w:tcPr>
          <w:p w14:paraId="22C0BB24"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6</w:t>
            </w:r>
          </w:p>
        </w:tc>
        <w:tc>
          <w:tcPr>
            <w:cnfStyle w:val="000010000000" w:firstRow="0" w:lastRow="0" w:firstColumn="0" w:lastColumn="0" w:oddVBand="1" w:evenVBand="0" w:oddHBand="0" w:evenHBand="0" w:firstRowFirstColumn="0" w:firstRowLastColumn="0" w:lastRowFirstColumn="0" w:lastRowLastColumn="0"/>
            <w:tcW w:w="639" w:type="pct"/>
          </w:tcPr>
          <w:p w14:paraId="56D80DFF"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6BCB7529"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779FE3F6" w14:textId="77777777" w:rsidR="000A5CFA" w:rsidRPr="00490DCE" w:rsidRDefault="000A5CFA">
            <w:pPr>
              <w:pStyle w:val="body"/>
              <w:rPr>
                <w:rFonts w:ascii="Arial" w:hAnsi="Arial" w:cs="Arial"/>
                <w:color w:val="auto"/>
              </w:rPr>
            </w:pPr>
            <w:r w:rsidRPr="00490DCE">
              <w:rPr>
                <w:rFonts w:ascii="Arial" w:hAnsi="Arial" w:cs="Arial"/>
                <w:color w:val="auto"/>
              </w:rPr>
              <w:t>Infrastructure and Transport</w:t>
            </w:r>
          </w:p>
        </w:tc>
        <w:tc>
          <w:tcPr>
            <w:tcW w:w="546" w:type="pct"/>
          </w:tcPr>
          <w:p w14:paraId="4BF942D0"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w:t>
            </w:r>
          </w:p>
        </w:tc>
        <w:tc>
          <w:tcPr>
            <w:cnfStyle w:val="000010000000" w:firstRow="0" w:lastRow="0" w:firstColumn="0" w:lastColumn="0" w:oddVBand="1" w:evenVBand="0" w:oddHBand="0" w:evenHBand="0" w:firstRowFirstColumn="0" w:firstRowLastColumn="0" w:lastRowFirstColumn="0" w:lastRowLastColumn="0"/>
            <w:tcW w:w="639" w:type="pct"/>
          </w:tcPr>
          <w:p w14:paraId="3484F583" w14:textId="77777777" w:rsidR="000A5CFA" w:rsidRPr="00490DCE" w:rsidRDefault="000A5CFA">
            <w:pPr>
              <w:pStyle w:val="body"/>
              <w:jc w:val="right"/>
              <w:rPr>
                <w:rFonts w:ascii="Arial" w:hAnsi="Arial" w:cs="Arial"/>
                <w:color w:val="auto"/>
              </w:rPr>
            </w:pPr>
            <w:r w:rsidRPr="00490DCE">
              <w:rPr>
                <w:rFonts w:ascii="Arial" w:hAnsi="Arial" w:cs="Arial"/>
                <w:color w:val="auto"/>
              </w:rPr>
              <w:t>1</w:t>
            </w:r>
          </w:p>
        </w:tc>
      </w:tr>
      <w:tr w:rsidR="000A5CFA" w:rsidRPr="00490DCE" w14:paraId="009CD57A" w14:textId="77777777" w:rsidTr="00775ABB">
        <w:trPr>
          <w:cnfStyle w:val="000000100000" w:firstRow="0" w:lastRow="0" w:firstColumn="0" w:lastColumn="0" w:oddVBand="0" w:evenVBand="0" w:oddHBand="1" w:evenHBand="0" w:firstRowFirstColumn="0" w:firstRowLastColumn="0" w:lastRowFirstColumn="0" w:lastRowLastColumn="0"/>
          <w:trHeight w:val="211"/>
        </w:trPr>
        <w:tc>
          <w:tcPr>
            <w:cnfStyle w:val="000010000000" w:firstRow="0" w:lastRow="0" w:firstColumn="0" w:lastColumn="0" w:oddVBand="1" w:evenVBand="0" w:oddHBand="0" w:evenHBand="0" w:firstRowFirstColumn="0" w:firstRowLastColumn="0" w:lastRowFirstColumn="0" w:lastRowLastColumn="0"/>
            <w:tcW w:w="3815" w:type="pct"/>
          </w:tcPr>
          <w:p w14:paraId="775A862D" w14:textId="77777777" w:rsidR="000A5CFA" w:rsidRPr="00490DCE" w:rsidRDefault="000A5CFA">
            <w:pPr>
              <w:pStyle w:val="body"/>
              <w:rPr>
                <w:rFonts w:ascii="Arial" w:hAnsi="Arial" w:cs="Arial"/>
                <w:color w:val="auto"/>
              </w:rPr>
            </w:pPr>
            <w:r w:rsidRPr="00490DCE">
              <w:rPr>
                <w:rFonts w:ascii="Arial" w:hAnsi="Arial" w:cs="Arial"/>
                <w:color w:val="auto"/>
              </w:rPr>
              <w:t>Regional Australia, Local Government, Arts and Sport</w:t>
            </w:r>
          </w:p>
        </w:tc>
        <w:tc>
          <w:tcPr>
            <w:tcW w:w="546" w:type="pct"/>
          </w:tcPr>
          <w:p w14:paraId="66DA55EB"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611F1606"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08400277"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1BB64F03" w14:textId="77777777" w:rsidR="000A5CFA" w:rsidRPr="00490DCE" w:rsidRDefault="000A5CFA">
            <w:pPr>
              <w:pStyle w:val="body"/>
              <w:rPr>
                <w:rFonts w:ascii="Arial" w:hAnsi="Arial" w:cs="Arial"/>
                <w:color w:val="auto"/>
              </w:rPr>
            </w:pPr>
            <w:r w:rsidRPr="00490DCE">
              <w:rPr>
                <w:rFonts w:ascii="Arial" w:hAnsi="Arial" w:cs="Arial"/>
                <w:color w:val="auto"/>
              </w:rPr>
              <w:t>Resources, Energy and Tourism</w:t>
            </w:r>
          </w:p>
        </w:tc>
        <w:tc>
          <w:tcPr>
            <w:tcW w:w="546" w:type="pct"/>
          </w:tcPr>
          <w:p w14:paraId="3C01E794"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301DF4AB"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71E5FE1C"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1AAB4781" w14:textId="77777777" w:rsidR="000A5CFA" w:rsidRPr="00490DCE" w:rsidRDefault="000A5CFA">
            <w:pPr>
              <w:pStyle w:val="body"/>
              <w:rPr>
                <w:rFonts w:ascii="Arial" w:hAnsi="Arial" w:cs="Arial"/>
                <w:color w:val="auto"/>
              </w:rPr>
            </w:pPr>
            <w:r w:rsidRPr="00490DCE">
              <w:rPr>
                <w:rFonts w:ascii="Arial" w:hAnsi="Arial" w:cs="Arial"/>
                <w:color w:val="auto"/>
              </w:rPr>
              <w:t>Sustainability, Environment, Water, Population and Communities</w:t>
            </w:r>
          </w:p>
        </w:tc>
        <w:tc>
          <w:tcPr>
            <w:tcW w:w="546" w:type="pct"/>
          </w:tcPr>
          <w:p w14:paraId="37E2E326"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2</w:t>
            </w:r>
          </w:p>
        </w:tc>
        <w:tc>
          <w:tcPr>
            <w:cnfStyle w:val="000010000000" w:firstRow="0" w:lastRow="0" w:firstColumn="0" w:lastColumn="0" w:oddVBand="1" w:evenVBand="0" w:oddHBand="0" w:evenHBand="0" w:firstRowFirstColumn="0" w:firstRowLastColumn="0" w:lastRowFirstColumn="0" w:lastRowLastColumn="0"/>
            <w:tcW w:w="639" w:type="pct"/>
          </w:tcPr>
          <w:p w14:paraId="163106FE"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490DCE" w14:paraId="6D442638"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1F526F16" w14:textId="77777777" w:rsidR="000A5CFA" w:rsidRPr="00490DCE" w:rsidRDefault="000A5CFA">
            <w:pPr>
              <w:pStyle w:val="body"/>
              <w:rPr>
                <w:rFonts w:ascii="Arial" w:hAnsi="Arial" w:cs="Arial"/>
                <w:color w:val="auto"/>
              </w:rPr>
            </w:pPr>
            <w:r w:rsidRPr="00490DCE">
              <w:rPr>
                <w:rFonts w:ascii="Arial" w:hAnsi="Arial" w:cs="Arial"/>
                <w:color w:val="auto"/>
              </w:rPr>
              <w:t>Treasury</w:t>
            </w:r>
          </w:p>
        </w:tc>
        <w:tc>
          <w:tcPr>
            <w:tcW w:w="546" w:type="pct"/>
          </w:tcPr>
          <w:p w14:paraId="387C5CA9" w14:textId="77777777" w:rsidR="000A5CFA" w:rsidRPr="00490DCE"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30</w:t>
            </w:r>
          </w:p>
        </w:tc>
        <w:tc>
          <w:tcPr>
            <w:cnfStyle w:val="000010000000" w:firstRow="0" w:lastRow="0" w:firstColumn="0" w:lastColumn="0" w:oddVBand="1" w:evenVBand="0" w:oddHBand="0" w:evenHBand="0" w:firstRowFirstColumn="0" w:firstRowLastColumn="0" w:lastRowFirstColumn="0" w:lastRowLastColumn="0"/>
            <w:tcW w:w="639" w:type="pct"/>
          </w:tcPr>
          <w:p w14:paraId="15FB85AE" w14:textId="77777777" w:rsidR="000A5CFA" w:rsidRPr="00490DCE" w:rsidRDefault="000A5CFA">
            <w:pPr>
              <w:pStyle w:val="body"/>
              <w:jc w:val="right"/>
              <w:rPr>
                <w:rFonts w:ascii="Arial" w:hAnsi="Arial" w:cs="Arial"/>
                <w:color w:val="auto"/>
              </w:rPr>
            </w:pPr>
            <w:r w:rsidRPr="00490DCE">
              <w:rPr>
                <w:rFonts w:ascii="Arial" w:hAnsi="Arial" w:cs="Arial"/>
                <w:color w:val="auto"/>
              </w:rPr>
              <w:t>1</w:t>
            </w:r>
          </w:p>
        </w:tc>
      </w:tr>
      <w:tr w:rsidR="000A5CFA" w:rsidRPr="00490DCE" w14:paraId="0E56AAF9" w14:textId="77777777" w:rsidTr="00775ABB">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3815" w:type="pct"/>
          </w:tcPr>
          <w:p w14:paraId="6A7B3385" w14:textId="77777777" w:rsidR="000A5CFA" w:rsidRPr="00490DCE" w:rsidRDefault="000A5CFA">
            <w:pPr>
              <w:pStyle w:val="body"/>
              <w:rPr>
                <w:rFonts w:ascii="Arial" w:hAnsi="Arial" w:cs="Arial"/>
                <w:color w:val="auto"/>
              </w:rPr>
            </w:pPr>
            <w:r w:rsidRPr="00490DCE">
              <w:rPr>
                <w:rFonts w:ascii="Arial" w:hAnsi="Arial" w:cs="Arial"/>
                <w:color w:val="auto"/>
              </w:rPr>
              <w:t>Defence/Resources, Energy and Tourism</w:t>
            </w:r>
          </w:p>
        </w:tc>
        <w:tc>
          <w:tcPr>
            <w:tcW w:w="546" w:type="pct"/>
          </w:tcPr>
          <w:p w14:paraId="137454DA" w14:textId="77777777" w:rsidR="000A5CFA" w:rsidRPr="00490DCE" w:rsidRDefault="000A5CFA">
            <w:pPr>
              <w:pStyle w:val="body"/>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1</w:t>
            </w:r>
          </w:p>
        </w:tc>
        <w:tc>
          <w:tcPr>
            <w:cnfStyle w:val="000010000000" w:firstRow="0" w:lastRow="0" w:firstColumn="0" w:lastColumn="0" w:oddVBand="1" w:evenVBand="0" w:oddHBand="0" w:evenHBand="0" w:firstRowFirstColumn="0" w:firstRowLastColumn="0" w:lastRowFirstColumn="0" w:lastRowLastColumn="0"/>
            <w:tcW w:w="639" w:type="pct"/>
          </w:tcPr>
          <w:p w14:paraId="70E7F95F" w14:textId="77777777" w:rsidR="000A5CFA" w:rsidRPr="00490DCE" w:rsidRDefault="000A5CFA">
            <w:pPr>
              <w:pStyle w:val="NoParagraphStyle"/>
              <w:spacing w:line="240" w:lineRule="auto"/>
              <w:textAlignment w:val="auto"/>
              <w:rPr>
                <w:rFonts w:ascii="Arial" w:hAnsi="Arial" w:cs="Arial"/>
                <w:color w:val="auto"/>
                <w:lang w:val="en-US"/>
              </w:rPr>
            </w:pPr>
          </w:p>
        </w:tc>
      </w:tr>
      <w:tr w:rsidR="000A5CFA" w:rsidRPr="00B41259" w14:paraId="1FBC9F2C" w14:textId="77777777" w:rsidTr="00775ABB">
        <w:trPr>
          <w:trHeight w:val="60"/>
        </w:trPr>
        <w:tc>
          <w:tcPr>
            <w:cnfStyle w:val="000010000000" w:firstRow="0" w:lastRow="0" w:firstColumn="0" w:lastColumn="0" w:oddVBand="1" w:evenVBand="0" w:oddHBand="0" w:evenHBand="0" w:firstRowFirstColumn="0" w:firstRowLastColumn="0" w:lastRowFirstColumn="0" w:lastRowLastColumn="0"/>
            <w:tcW w:w="3815" w:type="pct"/>
          </w:tcPr>
          <w:p w14:paraId="2DE9D6DE" w14:textId="77777777" w:rsidR="000A5CFA" w:rsidRPr="00B41259" w:rsidRDefault="000A5CFA">
            <w:pPr>
              <w:pStyle w:val="body"/>
              <w:rPr>
                <w:rFonts w:ascii="Arial" w:hAnsi="Arial" w:cs="Arial"/>
                <w:b/>
                <w:color w:val="auto"/>
              </w:rPr>
            </w:pPr>
            <w:r w:rsidRPr="00B41259">
              <w:rPr>
                <w:rStyle w:val="bold"/>
                <w:rFonts w:ascii="Arial" w:hAnsi="Arial" w:cs="Arial"/>
                <w:b/>
                <w:color w:val="auto"/>
              </w:rPr>
              <w:t>Total</w:t>
            </w:r>
          </w:p>
        </w:tc>
        <w:tc>
          <w:tcPr>
            <w:tcW w:w="546" w:type="pct"/>
          </w:tcPr>
          <w:p w14:paraId="7EE4D644" w14:textId="77777777" w:rsidR="000A5CFA" w:rsidRPr="00B41259" w:rsidRDefault="000A5CFA">
            <w:pPr>
              <w:pStyle w:val="body"/>
              <w:jc w:val="right"/>
              <w:cnfStyle w:val="000000000000" w:firstRow="0" w:lastRow="0" w:firstColumn="0" w:lastColumn="0" w:oddVBand="0" w:evenVBand="0" w:oddHBand="0" w:evenHBand="0" w:firstRowFirstColumn="0" w:firstRowLastColumn="0" w:lastRowFirstColumn="0" w:lastRowLastColumn="0"/>
              <w:rPr>
                <w:rFonts w:ascii="Arial" w:hAnsi="Arial" w:cs="Arial"/>
                <w:b/>
                <w:color w:val="auto"/>
              </w:rPr>
            </w:pPr>
            <w:r w:rsidRPr="00B41259">
              <w:rPr>
                <w:rStyle w:val="bold"/>
                <w:rFonts w:ascii="Arial" w:hAnsi="Arial" w:cs="Arial"/>
                <w:b/>
                <w:color w:val="auto"/>
              </w:rPr>
              <w:t>92</w:t>
            </w:r>
          </w:p>
        </w:tc>
        <w:tc>
          <w:tcPr>
            <w:cnfStyle w:val="000010000000" w:firstRow="0" w:lastRow="0" w:firstColumn="0" w:lastColumn="0" w:oddVBand="1" w:evenVBand="0" w:oddHBand="0" w:evenHBand="0" w:firstRowFirstColumn="0" w:firstRowLastColumn="0" w:lastRowFirstColumn="0" w:lastRowLastColumn="0"/>
            <w:tcW w:w="639" w:type="pct"/>
          </w:tcPr>
          <w:p w14:paraId="2BFCE3D1" w14:textId="77777777" w:rsidR="000A5CFA" w:rsidRPr="00B41259" w:rsidRDefault="000A5CFA">
            <w:pPr>
              <w:pStyle w:val="body"/>
              <w:jc w:val="right"/>
              <w:rPr>
                <w:rFonts w:ascii="Arial" w:hAnsi="Arial" w:cs="Arial"/>
                <w:b/>
                <w:color w:val="auto"/>
              </w:rPr>
            </w:pPr>
            <w:r w:rsidRPr="00B41259">
              <w:rPr>
                <w:rStyle w:val="bold"/>
                <w:rFonts w:ascii="Arial" w:hAnsi="Arial" w:cs="Arial"/>
                <w:b/>
                <w:color w:val="auto"/>
              </w:rPr>
              <w:t>3</w:t>
            </w:r>
          </w:p>
        </w:tc>
      </w:tr>
    </w:tbl>
    <w:p w14:paraId="22331116" w14:textId="77777777" w:rsidR="000A5CFA" w:rsidRPr="00490DCE" w:rsidRDefault="000A5CFA">
      <w:pPr>
        <w:pStyle w:val="body"/>
        <w:rPr>
          <w:rFonts w:ascii="Arial" w:hAnsi="Arial" w:cs="Arial"/>
          <w:color w:val="auto"/>
          <w:sz w:val="22"/>
          <w:szCs w:val="22"/>
          <w:lang w:val="en-US"/>
        </w:rPr>
      </w:pPr>
    </w:p>
    <w:p w14:paraId="1C233204" w14:textId="77777777" w:rsidR="000A5CFA" w:rsidRPr="00490DCE" w:rsidRDefault="007C5FF9" w:rsidP="00E804F7">
      <w:pPr>
        <w:pStyle w:val="Heading3"/>
        <w:rPr>
          <w:rFonts w:cs="Arial"/>
        </w:rPr>
      </w:pPr>
      <w:r w:rsidRPr="00490DCE">
        <w:rPr>
          <w:rFonts w:cs="Arial"/>
          <w:lang w:val="en-US"/>
        </w:rPr>
        <w:br w:type="page"/>
      </w:r>
      <w:r w:rsidR="000A5CFA" w:rsidRPr="00490DCE">
        <w:rPr>
          <w:rFonts w:cs="Arial"/>
          <w:lang w:val="en-US"/>
        </w:rPr>
        <w:lastRenderedPageBreak/>
        <w:t xml:space="preserve">5.1 </w:t>
      </w:r>
      <w:r w:rsidR="000A5CFA" w:rsidRPr="00490DCE">
        <w:rPr>
          <w:rFonts w:cs="Arial"/>
        </w:rPr>
        <w:t>Status by department or agency</w:t>
      </w:r>
    </w:p>
    <w:p w14:paraId="0D427FB3" w14:textId="77777777" w:rsidR="000A5CFA" w:rsidRPr="00490DCE" w:rsidRDefault="000A5CFA">
      <w:pPr>
        <w:pStyle w:val="tabletitle"/>
        <w:rPr>
          <w:rFonts w:cs="Arial"/>
        </w:rPr>
      </w:pPr>
      <w:r w:rsidRPr="00490DCE">
        <w:rPr>
          <w:rFonts w:cs="Arial"/>
        </w:rPr>
        <w:t>5.1.1 Australian Fisheries Management Authority</w:t>
      </w:r>
    </w:p>
    <w:tbl>
      <w:tblPr>
        <w:tblStyle w:val="LightList"/>
        <w:tblW w:w="5000" w:type="pct"/>
        <w:tblLook w:val="0020" w:firstRow="1" w:lastRow="0" w:firstColumn="0" w:lastColumn="0" w:noHBand="0" w:noVBand="0"/>
        <w:tblDescription w:val="Post-implementation Review compliance status by agency - Australian Fisheries Management Authority"/>
      </w:tblPr>
      <w:tblGrid>
        <w:gridCol w:w="1969"/>
        <w:gridCol w:w="1967"/>
        <w:gridCol w:w="1970"/>
        <w:gridCol w:w="1970"/>
        <w:gridCol w:w="1972"/>
      </w:tblGrid>
      <w:tr w:rsidR="000A5CFA" w:rsidRPr="00490DCE" w14:paraId="189208F4"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B29AB00"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5DB3972C"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56E25F9"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0D91AA2D"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Borders>
              <w:bottom w:val="nil"/>
            </w:tcBorders>
          </w:tcPr>
          <w:p w14:paraId="4DBB6B65" w14:textId="77777777" w:rsidR="000A5CFA" w:rsidRPr="0033158E" w:rsidRDefault="000A5CFA" w:rsidP="00807131">
            <w:pPr>
              <w:pStyle w:val="tablehead"/>
              <w:jc w:val="center"/>
              <w:outlineLvl w:val="3"/>
              <w:rPr>
                <w:rFonts w:ascii="Arial" w:hAnsi="Arial" w:cs="Arial"/>
                <w:b w:val="0"/>
                <w:color w:val="auto"/>
              </w:rPr>
            </w:pPr>
            <w:r w:rsidRPr="0033158E">
              <w:rPr>
                <w:rStyle w:val="bold"/>
                <w:rFonts w:ascii="Arial" w:hAnsi="Arial" w:cs="Arial"/>
                <w:b w:val="0"/>
                <w:color w:val="auto"/>
              </w:rPr>
              <w:t>Reason for PIR</w:t>
            </w:r>
          </w:p>
        </w:tc>
        <w:tc>
          <w:tcPr>
            <w:tcW w:w="999" w:type="pct"/>
            <w:tcBorders>
              <w:bottom w:val="nil"/>
            </w:tcBorders>
          </w:tcPr>
          <w:p w14:paraId="2A13D790"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Borders>
              <w:bottom w:val="nil"/>
            </w:tcBorders>
          </w:tcPr>
          <w:p w14:paraId="564168EE" w14:textId="77777777" w:rsidR="000A5CFA" w:rsidRPr="0033158E" w:rsidRDefault="000A5CFA" w:rsidP="00807131">
            <w:pPr>
              <w:pStyle w:val="tablehead"/>
              <w:jc w:val="center"/>
              <w:outlineLvl w:val="3"/>
              <w:rPr>
                <w:rFonts w:ascii="Arial" w:hAnsi="Arial" w:cs="Arial"/>
                <w:b w:val="0"/>
                <w:color w:val="auto"/>
              </w:rPr>
            </w:pPr>
            <w:r w:rsidRPr="0033158E">
              <w:rPr>
                <w:rStyle w:val="bold"/>
                <w:rFonts w:ascii="Arial" w:hAnsi="Arial" w:cs="Arial"/>
                <w:b w:val="0"/>
                <w:color w:val="auto"/>
              </w:rPr>
              <w:t>Date PIR to commence</w:t>
            </w:r>
          </w:p>
        </w:tc>
        <w:tc>
          <w:tcPr>
            <w:tcW w:w="1000" w:type="pct"/>
            <w:tcBorders>
              <w:bottom w:val="nil"/>
            </w:tcBorders>
          </w:tcPr>
          <w:p w14:paraId="26636674"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Style w:val="bold"/>
                <w:rFonts w:ascii="Arial" w:hAnsi="Arial" w:cs="Arial"/>
                <w:b w:val="0"/>
                <w:color w:val="auto"/>
              </w:rPr>
              <w:t>PIR</w:t>
            </w:r>
            <w:r w:rsidRPr="0033158E">
              <w:rPr>
                <w:rStyle w:val="bold"/>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0" w:type="pct"/>
            <w:tcBorders>
              <w:bottom w:val="nil"/>
            </w:tcBorders>
          </w:tcPr>
          <w:p w14:paraId="4E5E2A82" w14:textId="77777777" w:rsidR="000A5CFA" w:rsidRPr="0033158E" w:rsidRDefault="000A5CFA" w:rsidP="00807131">
            <w:pPr>
              <w:pStyle w:val="tablehead"/>
              <w:jc w:val="center"/>
              <w:outlineLvl w:val="3"/>
              <w:rPr>
                <w:rFonts w:ascii="Arial" w:hAnsi="Arial" w:cs="Arial"/>
                <w:b w:val="0"/>
                <w:color w:val="auto"/>
              </w:rPr>
            </w:pPr>
            <w:r w:rsidRPr="0033158E">
              <w:rPr>
                <w:rStyle w:val="bold"/>
                <w:rFonts w:ascii="Arial" w:hAnsi="Arial" w:cs="Arial"/>
                <w:b w:val="0"/>
                <w:color w:val="auto"/>
              </w:rPr>
              <w:t>PIR compliance</w:t>
            </w:r>
          </w:p>
        </w:tc>
      </w:tr>
      <w:tr w:rsidR="000A5CFA" w:rsidRPr="00490DCE" w14:paraId="5C7E3057" w14:textId="77777777" w:rsidTr="007B0158">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Borders>
              <w:top w:val="nil"/>
              <w:left w:val="single" w:sz="4" w:space="0" w:color="auto"/>
              <w:bottom w:val="nil"/>
              <w:right w:val="single" w:sz="4" w:space="0" w:color="auto"/>
            </w:tcBorders>
          </w:tcPr>
          <w:p w14:paraId="283A37DF" w14:textId="77777777" w:rsidR="000A5CFA" w:rsidRPr="00484EA1" w:rsidRDefault="000A5CFA">
            <w:pPr>
              <w:pStyle w:val="body"/>
              <w:rPr>
                <w:rFonts w:ascii="Arial" w:hAnsi="Arial" w:cs="Arial"/>
                <w:b/>
                <w:color w:val="auto"/>
              </w:rPr>
            </w:pPr>
            <w:r w:rsidRPr="00484EA1">
              <w:rPr>
                <w:rStyle w:val="bold"/>
                <w:rFonts w:ascii="Arial" w:hAnsi="Arial" w:cs="Arial"/>
                <w:b/>
                <w:color w:val="auto"/>
              </w:rPr>
              <w:t>Fishing Area Closure and Revised Monitoring Arrangements</w:t>
            </w:r>
          </w:p>
        </w:tc>
      </w:tr>
      <w:tr w:rsidR="000A5CFA" w:rsidRPr="00490DCE" w14:paraId="64CF01AB" w14:textId="77777777" w:rsidTr="007B0158">
        <w:trPr>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Borders>
              <w:top w:val="nil"/>
            </w:tcBorders>
          </w:tcPr>
          <w:p w14:paraId="70115AA3" w14:textId="77777777" w:rsidR="000A5CFA" w:rsidRPr="007F3181" w:rsidRDefault="000A5CFA">
            <w:pPr>
              <w:pStyle w:val="body"/>
              <w:rPr>
                <w:rFonts w:ascii="Arial" w:hAnsi="Arial" w:cs="Arial"/>
                <w:i/>
                <w:color w:val="auto"/>
              </w:rPr>
            </w:pPr>
            <w:r w:rsidRPr="007F3181">
              <w:rPr>
                <w:rStyle w:val="italic"/>
                <w:rFonts w:ascii="Arial" w:hAnsi="Arial" w:cs="Arial"/>
                <w:i/>
                <w:color w:val="auto"/>
                <w:spacing w:val="-2"/>
              </w:rPr>
              <w:t xml:space="preserve">Changes to management arrangements for </w:t>
            </w:r>
            <w:proofErr w:type="gramStart"/>
            <w:r w:rsidRPr="007F3181">
              <w:rPr>
                <w:rStyle w:val="italic"/>
                <w:rFonts w:ascii="Arial" w:hAnsi="Arial" w:cs="Arial"/>
                <w:i/>
                <w:color w:val="auto"/>
                <w:spacing w:val="-2"/>
              </w:rPr>
              <w:t>the gillnet</w:t>
            </w:r>
            <w:proofErr w:type="gramEnd"/>
            <w:r w:rsidRPr="007F3181">
              <w:rPr>
                <w:rStyle w:val="italic"/>
                <w:rFonts w:ascii="Arial" w:hAnsi="Arial" w:cs="Arial"/>
                <w:i/>
                <w:color w:val="auto"/>
                <w:spacing w:val="-2"/>
              </w:rPr>
              <w:t xml:space="preserve">, hook and trap sector of the southern and eastern </w:t>
            </w:r>
            <w:proofErr w:type="spellStart"/>
            <w:r w:rsidRPr="007F3181">
              <w:rPr>
                <w:rStyle w:val="italic"/>
                <w:rFonts w:ascii="Arial" w:hAnsi="Arial" w:cs="Arial"/>
                <w:i/>
                <w:color w:val="auto"/>
                <w:spacing w:val="-2"/>
              </w:rPr>
              <w:t>scalefish</w:t>
            </w:r>
            <w:proofErr w:type="spellEnd"/>
            <w:r w:rsidRPr="007F3181">
              <w:rPr>
                <w:rStyle w:val="italic"/>
                <w:rFonts w:ascii="Arial" w:hAnsi="Arial" w:cs="Arial"/>
                <w:i/>
                <w:color w:val="auto"/>
                <w:spacing w:val="-2"/>
              </w:rPr>
              <w:t xml:space="preserve"> and shark fishery, including closure of fishing areas to protect sea lions.</w:t>
            </w:r>
          </w:p>
        </w:tc>
      </w:tr>
      <w:tr w:rsidR="000A5CFA" w:rsidRPr="00490DCE" w14:paraId="0AA89C7D" w14:textId="77777777" w:rsidTr="007C5FF9">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1000" w:type="pct"/>
          </w:tcPr>
          <w:p w14:paraId="747FF108"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999" w:type="pct"/>
          </w:tcPr>
          <w:p w14:paraId="6B4EC008"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 xml:space="preserve">27 April </w:t>
            </w:r>
            <w:r w:rsidRPr="00490DCE">
              <w:rPr>
                <w:rFonts w:ascii="Arial" w:hAnsi="Arial" w:cs="Arial"/>
                <w:color w:val="auto"/>
              </w:rPr>
              <w:br/>
              <w:t>2011</w:t>
            </w:r>
          </w:p>
        </w:tc>
        <w:tc>
          <w:tcPr>
            <w:cnfStyle w:val="000010000000" w:firstRow="0" w:lastRow="0" w:firstColumn="0" w:lastColumn="0" w:oddVBand="1" w:evenVBand="0" w:oddHBand="0" w:evenHBand="0" w:firstRowFirstColumn="0" w:firstRowLastColumn="0" w:lastRowFirstColumn="0" w:lastRowLastColumn="0"/>
            <w:tcW w:w="1000" w:type="pct"/>
          </w:tcPr>
          <w:p w14:paraId="4729E41F" w14:textId="77777777" w:rsidR="000A5CFA" w:rsidRPr="00490DCE" w:rsidRDefault="000A5CFA">
            <w:pPr>
              <w:pStyle w:val="body"/>
              <w:jc w:val="center"/>
              <w:rPr>
                <w:rFonts w:ascii="Arial" w:hAnsi="Arial" w:cs="Arial"/>
                <w:color w:val="auto"/>
              </w:rPr>
            </w:pPr>
            <w:r w:rsidRPr="00490DCE">
              <w:rPr>
                <w:rFonts w:ascii="Arial" w:hAnsi="Arial" w:cs="Arial"/>
                <w:color w:val="auto"/>
              </w:rPr>
              <w:t>April 2013</w:t>
            </w:r>
          </w:p>
        </w:tc>
        <w:tc>
          <w:tcPr>
            <w:tcW w:w="1000" w:type="pct"/>
          </w:tcPr>
          <w:p w14:paraId="2D2164C9" w14:textId="77777777" w:rsidR="000A5CFA" w:rsidRPr="00490DCE" w:rsidRDefault="000A5CFA">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75243F98"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01881B0A" w14:textId="77777777" w:rsidR="000A5CFA" w:rsidRPr="00490DCE" w:rsidRDefault="000A5CFA">
      <w:pPr>
        <w:pStyle w:val="tabletitle"/>
        <w:spacing w:before="283"/>
        <w:rPr>
          <w:rFonts w:cs="Arial"/>
        </w:rPr>
      </w:pPr>
      <w:r w:rsidRPr="00490DCE">
        <w:rPr>
          <w:rFonts w:cs="Arial"/>
        </w:rPr>
        <w:t>5.1.2 Attorney-General’s Department</w:t>
      </w:r>
    </w:p>
    <w:tbl>
      <w:tblPr>
        <w:tblStyle w:val="LightList"/>
        <w:tblW w:w="5000" w:type="pct"/>
        <w:tblLook w:val="0020" w:firstRow="1" w:lastRow="0" w:firstColumn="0" w:lastColumn="0" w:noHBand="0" w:noVBand="0"/>
        <w:tblDescription w:val="Post-implementation Review compliance status by agency - Attorney-General's Department"/>
      </w:tblPr>
      <w:tblGrid>
        <w:gridCol w:w="1969"/>
        <w:gridCol w:w="1969"/>
        <w:gridCol w:w="1970"/>
        <w:gridCol w:w="1970"/>
        <w:gridCol w:w="1970"/>
      </w:tblGrid>
      <w:tr w:rsidR="000A5CFA" w:rsidRPr="00490DCE" w14:paraId="607513E3"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D8207E0"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481D11F9"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688C5E8"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1588D631"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1E475C3E"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32AA87BF"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53268054"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0715FD79"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71A9AE18"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7FF009E0" w14:textId="77777777" w:rsidTr="007C5FF9">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3D8DD8DD"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 xml:space="preserve">Marriage Amendment Regulations 2009 (No.1) and Marriage Amendment Regulations 2009 (No.2) </w:t>
            </w:r>
          </w:p>
          <w:p w14:paraId="05C55F92" w14:textId="77777777" w:rsidR="000A5CFA" w:rsidRPr="007F3181" w:rsidRDefault="000A5CFA">
            <w:pPr>
              <w:pStyle w:val="body"/>
              <w:rPr>
                <w:rFonts w:ascii="Arial" w:hAnsi="Arial" w:cs="Arial"/>
                <w:i/>
                <w:color w:val="auto"/>
              </w:rPr>
            </w:pPr>
            <w:r w:rsidRPr="007F3181">
              <w:rPr>
                <w:rStyle w:val="italic"/>
                <w:rFonts w:ascii="Arial" w:hAnsi="Arial" w:cs="Arial"/>
                <w:i/>
                <w:color w:val="auto"/>
              </w:rPr>
              <w:t>Implements minimum training and registration requirements for marriage celebrants.</w:t>
            </w:r>
          </w:p>
        </w:tc>
      </w:tr>
      <w:tr w:rsidR="000A5CFA" w:rsidRPr="00490DCE" w14:paraId="2433F807" w14:textId="77777777" w:rsidTr="007C5FF9">
        <w:trPr>
          <w:trHeight w:val="535"/>
        </w:trPr>
        <w:tc>
          <w:tcPr>
            <w:cnfStyle w:val="000010000000" w:firstRow="0" w:lastRow="0" w:firstColumn="0" w:lastColumn="0" w:oddVBand="1" w:evenVBand="0" w:oddHBand="0" w:evenHBand="0" w:firstRowFirstColumn="0" w:firstRowLastColumn="0" w:lastRowFirstColumn="0" w:lastRowLastColumn="0"/>
            <w:tcW w:w="1000" w:type="pct"/>
          </w:tcPr>
          <w:p w14:paraId="36B7CC2A"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44202F6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3 February </w:t>
            </w:r>
            <w:r w:rsidRPr="00490DCE">
              <w:rPr>
                <w:rFonts w:ascii="Arial" w:hAnsi="Arial" w:cs="Arial"/>
                <w:color w:val="auto"/>
              </w:rPr>
              <w:br/>
              <w:t>2010</w:t>
            </w:r>
          </w:p>
        </w:tc>
        <w:tc>
          <w:tcPr>
            <w:cnfStyle w:val="000010000000" w:firstRow="0" w:lastRow="0" w:firstColumn="0" w:lastColumn="0" w:oddVBand="1" w:evenVBand="0" w:oddHBand="0" w:evenHBand="0" w:firstRowFirstColumn="0" w:firstRowLastColumn="0" w:lastRowFirstColumn="0" w:lastRowLastColumn="0"/>
            <w:tcW w:w="1000" w:type="pct"/>
          </w:tcPr>
          <w:p w14:paraId="21C7CC47" w14:textId="77777777" w:rsidR="000A5CFA" w:rsidRPr="00490DCE" w:rsidRDefault="000A5CFA">
            <w:pPr>
              <w:pStyle w:val="body"/>
              <w:jc w:val="center"/>
              <w:rPr>
                <w:rFonts w:ascii="Arial" w:hAnsi="Arial" w:cs="Arial"/>
                <w:color w:val="auto"/>
              </w:rPr>
            </w:pPr>
            <w:r w:rsidRPr="00490DCE">
              <w:rPr>
                <w:rFonts w:ascii="Arial" w:hAnsi="Arial" w:cs="Arial"/>
                <w:color w:val="auto"/>
              </w:rPr>
              <w:t>February 2012</w:t>
            </w:r>
          </w:p>
        </w:tc>
        <w:tc>
          <w:tcPr>
            <w:tcW w:w="1000" w:type="pct"/>
          </w:tcPr>
          <w:p w14:paraId="08F4804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1" w:type="pct"/>
          </w:tcPr>
          <w:p w14:paraId="26EB193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3FB8D1AE" w14:textId="77777777" w:rsidTr="007C5FF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8BEE73A"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Organised Crime on the Waterfront</w:t>
            </w:r>
          </w:p>
          <w:p w14:paraId="4EB98F3C" w14:textId="77777777" w:rsidR="000A5CFA" w:rsidRPr="007F3181" w:rsidRDefault="000A5CFA">
            <w:pPr>
              <w:pStyle w:val="body"/>
              <w:rPr>
                <w:rFonts w:ascii="Arial" w:hAnsi="Arial" w:cs="Arial"/>
                <w:i/>
                <w:color w:val="auto"/>
              </w:rPr>
            </w:pPr>
            <w:r w:rsidRPr="007F3181">
              <w:rPr>
                <w:rStyle w:val="italic"/>
                <w:rFonts w:ascii="Arial" w:hAnsi="Arial" w:cs="Arial"/>
                <w:i/>
                <w:color w:val="auto"/>
              </w:rPr>
              <w:t>A package of measures to combat organised crime and strengthen security on the waterfront.</w:t>
            </w:r>
          </w:p>
        </w:tc>
      </w:tr>
      <w:tr w:rsidR="000A5CFA" w:rsidRPr="00490DCE" w14:paraId="65D0D0AE" w14:textId="77777777" w:rsidTr="007C5FF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050D4BB"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27FDDF9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May 2013</w:t>
            </w:r>
          </w:p>
        </w:tc>
        <w:tc>
          <w:tcPr>
            <w:cnfStyle w:val="000010000000" w:firstRow="0" w:lastRow="0" w:firstColumn="0" w:lastColumn="0" w:oddVBand="1" w:evenVBand="0" w:oddHBand="0" w:evenHBand="0" w:firstRowFirstColumn="0" w:firstRowLastColumn="0" w:lastRowFirstColumn="0" w:lastRowLastColumn="0"/>
            <w:tcW w:w="1000" w:type="pct"/>
          </w:tcPr>
          <w:p w14:paraId="5176FBD8" w14:textId="77777777" w:rsidR="000A5CFA" w:rsidRPr="00490DCE" w:rsidRDefault="000A5CFA">
            <w:pPr>
              <w:pStyle w:val="body"/>
              <w:jc w:val="center"/>
              <w:rPr>
                <w:rFonts w:ascii="Arial" w:hAnsi="Arial" w:cs="Arial"/>
                <w:color w:val="auto"/>
              </w:rPr>
            </w:pPr>
            <w:r w:rsidRPr="00490DCE">
              <w:rPr>
                <w:rFonts w:ascii="Arial" w:hAnsi="Arial" w:cs="Arial"/>
                <w:color w:val="auto"/>
              </w:rPr>
              <w:t>May 2015</w:t>
            </w:r>
          </w:p>
        </w:tc>
        <w:tc>
          <w:tcPr>
            <w:tcW w:w="1000" w:type="pct"/>
          </w:tcPr>
          <w:p w14:paraId="5CA8677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4395D31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28A022F5" w14:textId="77777777" w:rsidTr="007C5FF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6E2988D"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Banning the Importation of Unauthorised Psychoactive Substances</w:t>
            </w:r>
          </w:p>
          <w:p w14:paraId="0E031DEF" w14:textId="77777777" w:rsidR="000A5CFA" w:rsidRPr="007F3181" w:rsidRDefault="000A5CFA">
            <w:pPr>
              <w:pStyle w:val="body"/>
              <w:rPr>
                <w:rFonts w:ascii="Arial" w:hAnsi="Arial" w:cs="Arial"/>
                <w:i/>
                <w:color w:val="auto"/>
              </w:rPr>
            </w:pPr>
            <w:r w:rsidRPr="007F3181">
              <w:rPr>
                <w:rStyle w:val="italic"/>
                <w:rFonts w:ascii="Arial" w:hAnsi="Arial" w:cs="Arial"/>
                <w:i/>
                <w:color w:val="auto"/>
              </w:rPr>
              <w:t>Institutes a ‘reverse onus of proof’ scheme to prohibit the importation of psychoactive substances unless they are authorised as safe and legal.</w:t>
            </w:r>
          </w:p>
        </w:tc>
      </w:tr>
      <w:tr w:rsidR="000A5CFA" w:rsidRPr="00490DCE" w14:paraId="65B0D167" w14:textId="77777777" w:rsidTr="007C5FF9">
        <w:trPr>
          <w:trHeight w:val="322"/>
        </w:trPr>
        <w:tc>
          <w:tcPr>
            <w:cnfStyle w:val="000010000000" w:firstRow="0" w:lastRow="0" w:firstColumn="0" w:lastColumn="0" w:oddVBand="1" w:evenVBand="0" w:oddHBand="0" w:evenHBand="0" w:firstRowFirstColumn="0" w:firstRowLastColumn="0" w:lastRowFirstColumn="0" w:lastRowLastColumn="0"/>
            <w:tcW w:w="1000" w:type="pct"/>
          </w:tcPr>
          <w:p w14:paraId="2269CF45"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504161B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00" w:type="pct"/>
          </w:tcPr>
          <w:p w14:paraId="774F30B3"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340C473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56145940"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4B5E3E80" w14:textId="77777777" w:rsidR="000A5CFA" w:rsidRPr="00490DCE" w:rsidRDefault="000A5CFA">
      <w:pPr>
        <w:pStyle w:val="body"/>
        <w:rPr>
          <w:rFonts w:ascii="Arial" w:hAnsi="Arial" w:cs="Arial"/>
          <w:color w:val="auto"/>
        </w:rPr>
      </w:pPr>
    </w:p>
    <w:p w14:paraId="7990856B" w14:textId="77777777" w:rsidR="000A5CFA" w:rsidRPr="00490DCE" w:rsidRDefault="000A5CFA">
      <w:pPr>
        <w:pStyle w:val="note"/>
        <w:rPr>
          <w:rFonts w:cs="Arial"/>
          <w:color w:val="auto"/>
        </w:rPr>
      </w:pPr>
      <w:r w:rsidRPr="00490DCE">
        <w:rPr>
          <w:rFonts w:cs="Arial"/>
          <w:color w:val="auto"/>
        </w:rPr>
        <w:t>.. Not applicable</w:t>
      </w:r>
    </w:p>
    <w:p w14:paraId="385B60AB" w14:textId="77777777" w:rsidR="000A5CFA" w:rsidRPr="00490DCE" w:rsidRDefault="000A5CFA">
      <w:pPr>
        <w:pStyle w:val="body"/>
        <w:rPr>
          <w:rFonts w:ascii="Arial" w:hAnsi="Arial" w:cs="Arial"/>
          <w:color w:val="auto"/>
        </w:rPr>
      </w:pPr>
    </w:p>
    <w:p w14:paraId="24985145" w14:textId="77777777" w:rsidR="000A5CFA" w:rsidRPr="00490DCE" w:rsidRDefault="007C5FF9">
      <w:pPr>
        <w:pStyle w:val="tabletitle"/>
        <w:spacing w:after="0"/>
        <w:rPr>
          <w:rFonts w:cs="Arial"/>
        </w:rPr>
      </w:pPr>
      <w:r w:rsidRPr="00490DCE">
        <w:rPr>
          <w:rFonts w:cs="Arial"/>
        </w:rPr>
        <w:br w:type="page"/>
      </w:r>
      <w:r w:rsidR="000A5CFA" w:rsidRPr="00490DCE">
        <w:rPr>
          <w:rFonts w:cs="Arial"/>
        </w:rPr>
        <w:lastRenderedPageBreak/>
        <w:t>5.1.3 Australian Accounting Standards Board</w:t>
      </w:r>
    </w:p>
    <w:tbl>
      <w:tblPr>
        <w:tblStyle w:val="LightList"/>
        <w:tblW w:w="5000" w:type="pct"/>
        <w:tblLook w:val="0020" w:firstRow="1" w:lastRow="0" w:firstColumn="0" w:lastColumn="0" w:noHBand="0" w:noVBand="0"/>
        <w:tblDescription w:val="Post-implementation Review compliance status by agency - Australian Accounting Standards Board"/>
      </w:tblPr>
      <w:tblGrid>
        <w:gridCol w:w="1969"/>
        <w:gridCol w:w="1969"/>
        <w:gridCol w:w="1970"/>
        <w:gridCol w:w="1970"/>
        <w:gridCol w:w="1970"/>
      </w:tblGrid>
      <w:tr w:rsidR="000A5CFA" w:rsidRPr="00490DCE" w14:paraId="007FD1B6"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272930B"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5C63ABB"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29CD5E3"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301CA868"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70C7D36D"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3D06DEFB"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4BA509B1"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1571A238"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43690CCB"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07BC15FC" w14:textId="77777777" w:rsidTr="007C5FF9">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56755D65"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 xml:space="preserve">Amendments to Australian Accounting Standards AASB 1 &amp; 7 </w:t>
            </w:r>
          </w:p>
          <w:p w14:paraId="6F8CCDB2" w14:textId="77777777" w:rsidR="000A5CFA" w:rsidRPr="00490DCE" w:rsidRDefault="000A5CFA">
            <w:pPr>
              <w:pStyle w:val="body"/>
              <w:rPr>
                <w:rFonts w:ascii="Arial" w:hAnsi="Arial" w:cs="Arial"/>
                <w:color w:val="auto"/>
              </w:rPr>
            </w:pPr>
            <w:r w:rsidRPr="007F3181">
              <w:rPr>
                <w:rStyle w:val="italic"/>
                <w:rFonts w:ascii="Arial" w:hAnsi="Arial" w:cs="Arial"/>
                <w:i/>
                <w:color w:val="auto"/>
              </w:rPr>
              <w:t>Amendments to disclosure requirements around transfers of financial assets</w:t>
            </w:r>
            <w:r w:rsidRPr="00490DCE">
              <w:rPr>
                <w:rStyle w:val="italic"/>
                <w:rFonts w:ascii="Arial" w:hAnsi="Arial" w:cs="Arial"/>
                <w:color w:val="auto"/>
              </w:rPr>
              <w:t>.</w:t>
            </w:r>
          </w:p>
        </w:tc>
      </w:tr>
      <w:tr w:rsidR="000A5CFA" w:rsidRPr="00490DCE" w14:paraId="3B843D16" w14:textId="77777777" w:rsidTr="007C5FF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55A422D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4D85D3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November 2010</w:t>
            </w:r>
          </w:p>
        </w:tc>
        <w:tc>
          <w:tcPr>
            <w:cnfStyle w:val="000010000000" w:firstRow="0" w:lastRow="0" w:firstColumn="0" w:lastColumn="0" w:oddVBand="1" w:evenVBand="0" w:oddHBand="0" w:evenHBand="0" w:firstRowFirstColumn="0" w:firstRowLastColumn="0" w:lastRowFirstColumn="0" w:lastRowLastColumn="0"/>
            <w:tcW w:w="1000" w:type="pct"/>
          </w:tcPr>
          <w:p w14:paraId="4B7D67D7" w14:textId="77777777" w:rsidR="000A5CFA" w:rsidRPr="00490DCE" w:rsidRDefault="000A5CFA">
            <w:pPr>
              <w:pStyle w:val="body"/>
              <w:jc w:val="center"/>
              <w:rPr>
                <w:rFonts w:ascii="Arial" w:hAnsi="Arial" w:cs="Arial"/>
                <w:color w:val="auto"/>
              </w:rPr>
            </w:pPr>
            <w:r w:rsidRPr="00490DCE">
              <w:rPr>
                <w:rFonts w:ascii="Arial" w:hAnsi="Arial" w:cs="Arial"/>
                <w:color w:val="auto"/>
              </w:rPr>
              <w:t>June 2015</w:t>
            </w:r>
            <w:r w:rsidRPr="00490DCE">
              <w:rPr>
                <w:rStyle w:val="super"/>
                <w:rFonts w:cs="Arial"/>
                <w:color w:val="auto"/>
              </w:rPr>
              <w:t>a</w:t>
            </w:r>
          </w:p>
        </w:tc>
        <w:tc>
          <w:tcPr>
            <w:tcW w:w="1000" w:type="pct"/>
          </w:tcPr>
          <w:p w14:paraId="250580E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5F2F7ABB"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06DA3317" w14:textId="77777777" w:rsidTr="007C5FF9">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B285712"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Reducing the Financial Reporting Burden: A Second Tier of Requirements for General Purpose Financial Statements</w:t>
            </w:r>
          </w:p>
          <w:p w14:paraId="35A144D3" w14:textId="77777777" w:rsidR="000A5CFA" w:rsidRPr="00490DCE" w:rsidRDefault="000A5CFA">
            <w:pPr>
              <w:pStyle w:val="body"/>
              <w:rPr>
                <w:rFonts w:ascii="Arial" w:hAnsi="Arial" w:cs="Arial"/>
                <w:color w:val="auto"/>
              </w:rPr>
            </w:pPr>
            <w:r w:rsidRPr="00484EA1">
              <w:rPr>
                <w:rStyle w:val="italic"/>
                <w:rFonts w:ascii="Arial" w:hAnsi="Arial" w:cs="Arial"/>
                <w:i/>
                <w:color w:val="auto"/>
              </w:rPr>
              <w:t>Provides a second tier of requirements for general purpose financial statements to reduce the financial reporting burden</w:t>
            </w:r>
            <w:r w:rsidRPr="00490DCE">
              <w:rPr>
                <w:rStyle w:val="italic"/>
                <w:rFonts w:ascii="Arial" w:hAnsi="Arial" w:cs="Arial"/>
                <w:color w:val="auto"/>
              </w:rPr>
              <w:t>.</w:t>
            </w:r>
          </w:p>
        </w:tc>
      </w:tr>
      <w:tr w:rsidR="000A5CFA" w:rsidRPr="00490DCE" w14:paraId="732C1E58" w14:textId="77777777" w:rsidTr="007C5FF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BE6A41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5A30E82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2010</w:t>
            </w:r>
          </w:p>
        </w:tc>
        <w:tc>
          <w:tcPr>
            <w:cnfStyle w:val="000010000000" w:firstRow="0" w:lastRow="0" w:firstColumn="0" w:lastColumn="0" w:oddVBand="1" w:evenVBand="0" w:oddHBand="0" w:evenHBand="0" w:firstRowFirstColumn="0" w:firstRowLastColumn="0" w:lastRowFirstColumn="0" w:lastRowLastColumn="0"/>
            <w:tcW w:w="1000" w:type="pct"/>
          </w:tcPr>
          <w:p w14:paraId="21481BFB" w14:textId="77777777" w:rsidR="000A5CFA" w:rsidRPr="00490DCE" w:rsidRDefault="000A5CFA">
            <w:pPr>
              <w:pStyle w:val="body"/>
              <w:jc w:val="center"/>
              <w:rPr>
                <w:rFonts w:ascii="Arial" w:hAnsi="Arial" w:cs="Arial"/>
                <w:color w:val="auto"/>
              </w:rPr>
            </w:pPr>
            <w:r w:rsidRPr="00490DCE">
              <w:rPr>
                <w:rFonts w:ascii="Arial" w:hAnsi="Arial" w:cs="Arial"/>
                <w:color w:val="auto"/>
              </w:rPr>
              <w:t>June 2015</w:t>
            </w:r>
            <w:r w:rsidRPr="00490DCE">
              <w:rPr>
                <w:rStyle w:val="super"/>
                <w:rFonts w:cs="Arial"/>
                <w:color w:val="auto"/>
              </w:rPr>
              <w:t>b</w:t>
            </w:r>
          </w:p>
        </w:tc>
        <w:tc>
          <w:tcPr>
            <w:tcW w:w="1000" w:type="pct"/>
          </w:tcPr>
          <w:p w14:paraId="66663BE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7B15174F"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7E94FE7D" w14:textId="77777777" w:rsidR="000A5CFA" w:rsidRPr="00490DCE" w:rsidRDefault="000A5CFA">
      <w:pPr>
        <w:pStyle w:val="tabletitle"/>
        <w:spacing w:before="57"/>
        <w:ind w:left="0" w:firstLine="0"/>
        <w:rPr>
          <w:rFonts w:cs="Arial"/>
        </w:rPr>
      </w:pPr>
    </w:p>
    <w:p w14:paraId="34F41099" w14:textId="77777777" w:rsidR="000A5CFA" w:rsidRPr="00490DCE" w:rsidRDefault="000A5CFA">
      <w:pPr>
        <w:pStyle w:val="note"/>
        <w:spacing w:before="57"/>
        <w:rPr>
          <w:rFonts w:cs="Arial"/>
          <w:color w:val="auto"/>
        </w:rPr>
      </w:pPr>
      <w:r w:rsidRPr="00490DCE">
        <w:rPr>
          <w:rFonts w:cs="Arial"/>
          <w:color w:val="auto"/>
        </w:rPr>
        <w:t xml:space="preserve"> </w:t>
      </w:r>
      <w:proofErr w:type="spellStart"/>
      <w:proofErr w:type="gramStart"/>
      <w:r w:rsidRPr="00490DCE">
        <w:rPr>
          <w:rFonts w:cs="Arial"/>
          <w:color w:val="auto"/>
        </w:rPr>
        <w:t>a</w:t>
      </w:r>
      <w:proofErr w:type="spellEnd"/>
      <w:proofErr w:type="gramEnd"/>
      <w:r w:rsidRPr="00490DCE">
        <w:rPr>
          <w:rFonts w:cs="Arial"/>
          <w:color w:val="auto"/>
        </w:rPr>
        <w:t xml:space="preserve"> The OBPR agreed to the AASB’s request to defer the commencement date for the PIR to allow necessary data to be available for the review, having regard to the financial cycle for the relevant requirements.</w:t>
      </w:r>
    </w:p>
    <w:p w14:paraId="122D9BEB" w14:textId="77777777" w:rsidR="000A5CFA" w:rsidRPr="00490DCE" w:rsidRDefault="000A5CFA">
      <w:pPr>
        <w:pStyle w:val="note"/>
        <w:rPr>
          <w:rFonts w:cs="Arial"/>
          <w:color w:val="auto"/>
          <w:lang w:val="en-AU"/>
        </w:rPr>
      </w:pPr>
      <w:proofErr w:type="gramStart"/>
      <w:r w:rsidRPr="00490DCE">
        <w:rPr>
          <w:rStyle w:val="super"/>
          <w:rFonts w:cs="Arial"/>
          <w:color w:val="auto"/>
        </w:rPr>
        <w:t>b</w:t>
      </w:r>
      <w:proofErr w:type="gramEnd"/>
      <w:r w:rsidRPr="00490DCE">
        <w:rPr>
          <w:rFonts w:cs="Arial"/>
          <w:color w:val="auto"/>
        </w:rPr>
        <w:t xml:space="preserve"> The OBPR agreed to the AASB’s request to defer the commencement date for the PIR to coincide with an expected review of the relevant standards by the International Accounting Standards Board.</w:t>
      </w:r>
    </w:p>
    <w:p w14:paraId="7AC35425" w14:textId="77777777" w:rsidR="000A5CFA" w:rsidRPr="00490DCE" w:rsidRDefault="000A5CFA">
      <w:pPr>
        <w:pStyle w:val="tabletitle"/>
        <w:spacing w:before="283"/>
        <w:rPr>
          <w:rFonts w:cs="Arial"/>
        </w:rPr>
      </w:pPr>
      <w:r w:rsidRPr="00490DCE">
        <w:rPr>
          <w:rFonts w:cs="Arial"/>
        </w:rPr>
        <w:t>5.1.4 Australian Communications and Media Authority</w:t>
      </w:r>
    </w:p>
    <w:tbl>
      <w:tblPr>
        <w:tblStyle w:val="LightList"/>
        <w:tblW w:w="5000" w:type="pct"/>
        <w:tblLook w:val="0020" w:firstRow="1" w:lastRow="0" w:firstColumn="0" w:lastColumn="0" w:noHBand="0" w:noVBand="0"/>
        <w:tblDescription w:val="Post-implementation Review compliance status by agency - Australian Communications and Media Authority"/>
      </w:tblPr>
      <w:tblGrid>
        <w:gridCol w:w="1969"/>
        <w:gridCol w:w="1969"/>
        <w:gridCol w:w="1970"/>
        <w:gridCol w:w="1970"/>
        <w:gridCol w:w="1970"/>
      </w:tblGrid>
      <w:tr w:rsidR="000A5CFA" w:rsidRPr="00490DCE" w14:paraId="73445CF3"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27FFE1D"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A6A8C44"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0AEBBE2"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563AEECB"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1493EB44"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09B54C06"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0B323E20"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21861117"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0" w:type="pct"/>
          </w:tcPr>
          <w:p w14:paraId="2F4A736D"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23C3971C" w14:textId="77777777" w:rsidTr="00E27EEB">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2DE7C58D"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Telecommunications Service Provider (Mobile Premium Services) Determination 2010 (No.1)</w:t>
            </w:r>
          </w:p>
          <w:p w14:paraId="2F9289F7" w14:textId="77777777" w:rsidR="000A5CFA" w:rsidRPr="007F3181" w:rsidRDefault="000A5CFA">
            <w:pPr>
              <w:pStyle w:val="body"/>
              <w:rPr>
                <w:rFonts w:ascii="Arial" w:hAnsi="Arial" w:cs="Arial"/>
                <w:i/>
                <w:color w:val="auto"/>
              </w:rPr>
            </w:pPr>
            <w:r w:rsidRPr="007F3181">
              <w:rPr>
                <w:rStyle w:val="italic"/>
                <w:rFonts w:ascii="Arial" w:hAnsi="Arial" w:cs="Arial"/>
                <w:i/>
                <w:color w:val="auto"/>
              </w:rPr>
              <w:t>Prohibits premium SMS and MMS content providers from charging customers for services they did not authorise and requires clear information about the nature and cost of the service.</w:t>
            </w:r>
          </w:p>
        </w:tc>
      </w:tr>
      <w:tr w:rsidR="000A5CFA" w:rsidRPr="00490DCE" w14:paraId="5C77B0DF" w14:textId="77777777" w:rsidTr="00E27EEB">
        <w:trPr>
          <w:trHeight w:val="535"/>
        </w:trPr>
        <w:tc>
          <w:tcPr>
            <w:cnfStyle w:val="000010000000" w:firstRow="0" w:lastRow="0" w:firstColumn="0" w:lastColumn="0" w:oddVBand="1" w:evenVBand="0" w:oddHBand="0" w:evenHBand="0" w:firstRowFirstColumn="0" w:firstRowLastColumn="0" w:lastRowFirstColumn="0" w:lastRowLastColumn="0"/>
            <w:tcW w:w="1000" w:type="pct"/>
          </w:tcPr>
          <w:p w14:paraId="2188C08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64DB23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May 2010</w:t>
            </w:r>
          </w:p>
        </w:tc>
        <w:tc>
          <w:tcPr>
            <w:cnfStyle w:val="000010000000" w:firstRow="0" w:lastRow="0" w:firstColumn="0" w:lastColumn="0" w:oddVBand="1" w:evenVBand="0" w:oddHBand="0" w:evenHBand="0" w:firstRowFirstColumn="0" w:firstRowLastColumn="0" w:lastRowFirstColumn="0" w:lastRowLastColumn="0"/>
            <w:tcW w:w="1000" w:type="pct"/>
          </w:tcPr>
          <w:p w14:paraId="3DBB896E" w14:textId="77777777" w:rsidR="000A5CFA" w:rsidRPr="00490DCE" w:rsidRDefault="000A5CFA">
            <w:pPr>
              <w:pStyle w:val="body"/>
              <w:jc w:val="center"/>
              <w:rPr>
                <w:rFonts w:ascii="Arial" w:hAnsi="Arial" w:cs="Arial"/>
                <w:color w:val="auto"/>
              </w:rPr>
            </w:pPr>
            <w:r w:rsidRPr="00490DCE">
              <w:rPr>
                <w:rFonts w:ascii="Arial" w:hAnsi="Arial" w:cs="Arial"/>
                <w:color w:val="auto"/>
              </w:rPr>
              <w:t>May 2012</w:t>
            </w:r>
          </w:p>
        </w:tc>
        <w:tc>
          <w:tcPr>
            <w:tcW w:w="1000" w:type="pct"/>
          </w:tcPr>
          <w:p w14:paraId="5E940E6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70FAB17B"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4A943160" w14:textId="77777777" w:rsidTr="00E27EE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6C93825"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Telecommunications Service Provider (Mobile Premium Services) Determination 2010 (No.2)</w:t>
            </w:r>
          </w:p>
          <w:p w14:paraId="207BDB2E" w14:textId="77777777" w:rsidR="000A5CFA" w:rsidRPr="007F3181" w:rsidRDefault="000A5CFA">
            <w:pPr>
              <w:pStyle w:val="body"/>
              <w:rPr>
                <w:rFonts w:ascii="Arial" w:hAnsi="Arial" w:cs="Arial"/>
                <w:i/>
                <w:color w:val="auto"/>
              </w:rPr>
            </w:pPr>
            <w:r w:rsidRPr="007F3181">
              <w:rPr>
                <w:rStyle w:val="italic"/>
                <w:rFonts w:ascii="Arial" w:hAnsi="Arial" w:cs="Arial"/>
                <w:i/>
                <w:color w:val="auto"/>
              </w:rPr>
              <w:t>Empowers the ACMA to issue a temporary Do Not Bill order to stop suspect content providers from charging customers while it investigates a service.</w:t>
            </w:r>
          </w:p>
        </w:tc>
      </w:tr>
      <w:tr w:rsidR="000A5CFA" w:rsidRPr="00490DCE" w14:paraId="5317F0F0" w14:textId="77777777" w:rsidTr="00E27EEB">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2371C86"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074E02B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November 2010</w:t>
            </w:r>
          </w:p>
        </w:tc>
        <w:tc>
          <w:tcPr>
            <w:cnfStyle w:val="000010000000" w:firstRow="0" w:lastRow="0" w:firstColumn="0" w:lastColumn="0" w:oddVBand="1" w:evenVBand="0" w:oddHBand="0" w:evenHBand="0" w:firstRowFirstColumn="0" w:firstRowLastColumn="0" w:lastRowFirstColumn="0" w:lastRowLastColumn="0"/>
            <w:tcW w:w="1000" w:type="pct"/>
          </w:tcPr>
          <w:p w14:paraId="56CA1B1D" w14:textId="77777777" w:rsidR="000A5CFA" w:rsidRPr="00490DCE" w:rsidRDefault="000A5CFA">
            <w:pPr>
              <w:pStyle w:val="body"/>
              <w:jc w:val="center"/>
              <w:rPr>
                <w:rFonts w:ascii="Arial" w:hAnsi="Arial" w:cs="Arial"/>
                <w:color w:val="auto"/>
              </w:rPr>
            </w:pPr>
            <w:r w:rsidRPr="00490DCE">
              <w:rPr>
                <w:rFonts w:ascii="Arial" w:hAnsi="Arial" w:cs="Arial"/>
                <w:color w:val="auto"/>
              </w:rPr>
              <w:t>November 2012</w:t>
            </w:r>
          </w:p>
        </w:tc>
        <w:tc>
          <w:tcPr>
            <w:tcW w:w="1000" w:type="pct"/>
          </w:tcPr>
          <w:p w14:paraId="227F071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7E3F07B7"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588311F6" w14:textId="77777777" w:rsidR="000A5CFA" w:rsidRPr="00490DCE" w:rsidRDefault="000A5CFA">
      <w:pPr>
        <w:pStyle w:val="tabletitle"/>
        <w:spacing w:before="0"/>
        <w:ind w:left="0" w:firstLine="0"/>
        <w:rPr>
          <w:rFonts w:cs="Arial"/>
          <w:sz w:val="22"/>
          <w:szCs w:val="22"/>
          <w:lang w:val="en-AU"/>
        </w:rPr>
      </w:pPr>
    </w:p>
    <w:p w14:paraId="3754DDFD" w14:textId="77777777" w:rsidR="000A5CFA" w:rsidRPr="00490DCE" w:rsidRDefault="00D6546A">
      <w:pPr>
        <w:pStyle w:val="tabletitle"/>
        <w:rPr>
          <w:rFonts w:cs="Arial"/>
        </w:rPr>
      </w:pPr>
      <w:r w:rsidRPr="00490DCE">
        <w:rPr>
          <w:rFonts w:cs="Arial"/>
        </w:rPr>
        <w:br w:type="page"/>
      </w:r>
      <w:r w:rsidR="000A5CFA" w:rsidRPr="00490DCE">
        <w:rPr>
          <w:rFonts w:cs="Arial"/>
        </w:rPr>
        <w:lastRenderedPageBreak/>
        <w:t>5.1.5 Australian Securities and Investments Commission</w:t>
      </w:r>
    </w:p>
    <w:tbl>
      <w:tblPr>
        <w:tblStyle w:val="LightList"/>
        <w:tblW w:w="5000" w:type="pct"/>
        <w:tblLook w:val="0020" w:firstRow="1" w:lastRow="0" w:firstColumn="0" w:lastColumn="0" w:noHBand="0" w:noVBand="0"/>
        <w:tblDescription w:val="Post-implementation Review compliance status by agency - Australian Securities and Investments Commission"/>
      </w:tblPr>
      <w:tblGrid>
        <w:gridCol w:w="1969"/>
        <w:gridCol w:w="1969"/>
        <w:gridCol w:w="1970"/>
        <w:gridCol w:w="1970"/>
        <w:gridCol w:w="1970"/>
      </w:tblGrid>
      <w:tr w:rsidR="000A5CFA" w:rsidRPr="00490DCE" w14:paraId="7FAD868F"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DD501A9"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76E1D6A"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F1017CE"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AFA1838"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066B54B6"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5E9D7E7E"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5B0A8056"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3CEA57E8"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053B3202"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5F597E06" w14:textId="77777777" w:rsidTr="00D6546A">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777FFD99"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Interim Bans on Covered and Naked Short Selling (Class Orders 08/751, 08/752, 08/753, 08/763, 08/764, 08/801, 08/824)</w:t>
            </w:r>
          </w:p>
          <w:p w14:paraId="0430CDF2" w14:textId="77777777" w:rsidR="000A5CFA" w:rsidRPr="00490DCE" w:rsidRDefault="000A5CFA">
            <w:pPr>
              <w:pStyle w:val="body"/>
              <w:rPr>
                <w:rFonts w:ascii="Arial" w:hAnsi="Arial" w:cs="Arial"/>
                <w:color w:val="auto"/>
              </w:rPr>
            </w:pPr>
            <w:r w:rsidRPr="00397586">
              <w:rPr>
                <w:rStyle w:val="italic"/>
                <w:rFonts w:ascii="Arial" w:hAnsi="Arial" w:cs="Arial"/>
                <w:i/>
                <w:color w:val="auto"/>
              </w:rPr>
              <w:t>Implements decisions made in 2008-09 relating to class orders which imposed restrictions on short sales of securities</w:t>
            </w:r>
            <w:r w:rsidRPr="00490DCE">
              <w:rPr>
                <w:rStyle w:val="italic"/>
                <w:rFonts w:ascii="Arial" w:hAnsi="Arial" w:cs="Arial"/>
                <w:color w:val="auto"/>
              </w:rPr>
              <w:t>.</w:t>
            </w:r>
          </w:p>
        </w:tc>
      </w:tr>
      <w:tr w:rsidR="000A5CFA" w:rsidRPr="00490DCE" w14:paraId="1821B1E8" w14:textId="77777777" w:rsidTr="00D6546A">
        <w:trPr>
          <w:trHeight w:val="535"/>
        </w:trPr>
        <w:tc>
          <w:tcPr>
            <w:cnfStyle w:val="000010000000" w:firstRow="0" w:lastRow="0" w:firstColumn="0" w:lastColumn="0" w:oddVBand="1" w:evenVBand="0" w:oddHBand="0" w:evenHBand="0" w:firstRowFirstColumn="0" w:firstRowLastColumn="0" w:lastRowFirstColumn="0" w:lastRowLastColumn="0"/>
            <w:tcW w:w="1000" w:type="pct"/>
          </w:tcPr>
          <w:p w14:paraId="0744A677"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6FB2E77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September 2008</w:t>
            </w:r>
          </w:p>
        </w:tc>
        <w:tc>
          <w:tcPr>
            <w:cnfStyle w:val="000010000000" w:firstRow="0" w:lastRow="0" w:firstColumn="0" w:lastColumn="0" w:oddVBand="1" w:evenVBand="0" w:oddHBand="0" w:evenHBand="0" w:firstRowFirstColumn="0" w:firstRowLastColumn="0" w:lastRowFirstColumn="0" w:lastRowLastColumn="0"/>
            <w:tcW w:w="1000" w:type="pct"/>
          </w:tcPr>
          <w:p w14:paraId="3D679275" w14:textId="77777777" w:rsidR="000A5CFA" w:rsidRPr="00490DCE" w:rsidRDefault="000A5CFA">
            <w:pPr>
              <w:pStyle w:val="body"/>
              <w:jc w:val="center"/>
              <w:rPr>
                <w:rFonts w:ascii="Arial" w:hAnsi="Arial" w:cs="Arial"/>
                <w:color w:val="auto"/>
              </w:rPr>
            </w:pPr>
            <w:r w:rsidRPr="00490DCE">
              <w:rPr>
                <w:rFonts w:ascii="Arial" w:hAnsi="Arial" w:cs="Arial"/>
                <w:color w:val="auto"/>
              </w:rPr>
              <w:t>September 2010</w:t>
            </w:r>
          </w:p>
        </w:tc>
        <w:tc>
          <w:tcPr>
            <w:tcW w:w="1000" w:type="pct"/>
          </w:tcPr>
          <w:p w14:paraId="496A69A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1" w:type="pct"/>
          </w:tcPr>
          <w:p w14:paraId="1263C24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5FB2D205" w14:textId="77777777" w:rsidR="000A5CFA" w:rsidRPr="00490DCE" w:rsidRDefault="000A5CFA">
      <w:pPr>
        <w:pStyle w:val="tabletitle"/>
        <w:spacing w:before="0"/>
        <w:ind w:left="0" w:firstLine="0"/>
        <w:rPr>
          <w:rFonts w:cs="Arial"/>
        </w:rPr>
      </w:pPr>
    </w:p>
    <w:p w14:paraId="6A2FE141" w14:textId="77777777" w:rsidR="000A5CFA" w:rsidRPr="00490DCE" w:rsidRDefault="000A5CFA" w:rsidP="00D6546A">
      <w:pPr>
        <w:pStyle w:val="footnote"/>
        <w:rPr>
          <w:rFonts w:cs="Arial"/>
          <w:color w:val="auto"/>
        </w:rPr>
      </w:pPr>
      <w:r w:rsidRPr="00490DCE">
        <w:rPr>
          <w:rFonts w:cs="Arial"/>
          <w:color w:val="auto"/>
        </w:rPr>
        <w:t>E/c Exceptional circumstances were granted by the Prime Minister</w:t>
      </w:r>
    </w:p>
    <w:p w14:paraId="49E179D7" w14:textId="77777777" w:rsidR="000A5CFA" w:rsidRPr="00490DCE" w:rsidRDefault="000A5CFA">
      <w:pPr>
        <w:pStyle w:val="tabletitle"/>
        <w:spacing w:before="283"/>
        <w:rPr>
          <w:rFonts w:cs="Arial"/>
        </w:rPr>
      </w:pPr>
      <w:r w:rsidRPr="00490DCE">
        <w:rPr>
          <w:rFonts w:cs="Arial"/>
        </w:rPr>
        <w:t>5.1.6 Australian Transaction Reports and Analysis Centre</w:t>
      </w:r>
    </w:p>
    <w:tbl>
      <w:tblPr>
        <w:tblStyle w:val="LightList"/>
        <w:tblW w:w="5000" w:type="pct"/>
        <w:tblLook w:val="0020" w:firstRow="1" w:lastRow="0" w:firstColumn="0" w:lastColumn="0" w:noHBand="0" w:noVBand="0"/>
        <w:tblDescription w:val="Post-implementation Review compliance status by agency - Australian Transaction Reports and Analysis Centre"/>
      </w:tblPr>
      <w:tblGrid>
        <w:gridCol w:w="1969"/>
        <w:gridCol w:w="1969"/>
        <w:gridCol w:w="1970"/>
        <w:gridCol w:w="1970"/>
        <w:gridCol w:w="1970"/>
      </w:tblGrid>
      <w:tr w:rsidR="000A5CFA" w:rsidRPr="00490DCE" w14:paraId="6CE5E764"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6A0C1747"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E48BA9B"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AEAD70C"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024448CA" w14:textId="77777777" w:rsidTr="0023720F">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372B9E95"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1F6F7E8A"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135647C1"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700B85DC"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051B4575"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3BD66027" w14:textId="77777777" w:rsidTr="00D6546A">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10A9121A"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Cancellation and Suspension of a Remittance Dealer’s Registration</w:t>
            </w:r>
          </w:p>
          <w:p w14:paraId="41282313" w14:textId="77777777" w:rsidR="000A5CFA" w:rsidRPr="00397586" w:rsidRDefault="000A5CFA" w:rsidP="00D6546A">
            <w:pPr>
              <w:pStyle w:val="body"/>
              <w:rPr>
                <w:rFonts w:ascii="Arial" w:hAnsi="Arial" w:cs="Arial"/>
                <w:i/>
                <w:color w:val="auto"/>
              </w:rPr>
            </w:pPr>
            <w:r w:rsidRPr="00397586">
              <w:rPr>
                <w:rStyle w:val="italic"/>
                <w:rFonts w:ascii="Arial" w:hAnsi="Arial" w:cs="Arial"/>
                <w:i/>
                <w:color w:val="auto"/>
              </w:rPr>
              <w:t>Rules that specify the matters the AUSTRAC CEO must take into account to cancel or suspend the registration of a registered alternative remittance dealer.</w:t>
            </w:r>
          </w:p>
        </w:tc>
      </w:tr>
      <w:tr w:rsidR="000A5CFA" w:rsidRPr="00490DCE" w14:paraId="070687E7" w14:textId="77777777" w:rsidTr="00D6546A">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A33804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4CBE70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27 October 2011</w:t>
            </w:r>
          </w:p>
        </w:tc>
        <w:tc>
          <w:tcPr>
            <w:cnfStyle w:val="000010000000" w:firstRow="0" w:lastRow="0" w:firstColumn="0" w:lastColumn="0" w:oddVBand="1" w:evenVBand="0" w:oddHBand="0" w:evenHBand="0" w:firstRowFirstColumn="0" w:firstRowLastColumn="0" w:lastRowFirstColumn="0" w:lastRowLastColumn="0"/>
            <w:tcW w:w="1000" w:type="pct"/>
          </w:tcPr>
          <w:p w14:paraId="6D6BA25B" w14:textId="77777777" w:rsidR="000A5CFA" w:rsidRPr="00490DCE" w:rsidRDefault="000A5CFA">
            <w:pPr>
              <w:pStyle w:val="body"/>
              <w:jc w:val="center"/>
              <w:rPr>
                <w:rFonts w:ascii="Arial" w:hAnsi="Arial" w:cs="Arial"/>
                <w:color w:val="auto"/>
              </w:rPr>
            </w:pPr>
            <w:r w:rsidRPr="00490DCE">
              <w:rPr>
                <w:rFonts w:ascii="Arial" w:hAnsi="Arial" w:cs="Arial"/>
                <w:color w:val="auto"/>
              </w:rPr>
              <w:t>October 2013</w:t>
            </w:r>
          </w:p>
        </w:tc>
        <w:tc>
          <w:tcPr>
            <w:tcW w:w="1000" w:type="pct"/>
          </w:tcPr>
          <w:p w14:paraId="5540659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1" w:type="pct"/>
          </w:tcPr>
          <w:p w14:paraId="2285EDF5"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20986FBA" w14:textId="77777777" w:rsidR="000A5CFA" w:rsidRPr="00490DCE" w:rsidRDefault="000A5CFA">
      <w:pPr>
        <w:pStyle w:val="tabletitle"/>
        <w:spacing w:before="0"/>
        <w:ind w:left="0" w:firstLine="0"/>
        <w:rPr>
          <w:rFonts w:cs="Arial"/>
        </w:rPr>
      </w:pPr>
    </w:p>
    <w:p w14:paraId="09D63FA5" w14:textId="77777777" w:rsidR="00125CF2" w:rsidRDefault="00125CF2">
      <w:pPr>
        <w:suppressAutoHyphens w:val="0"/>
        <w:spacing w:after="0"/>
        <w:rPr>
          <w:rFonts w:cs="Arial"/>
          <w:b/>
          <w:sz w:val="20"/>
          <w:lang w:val="en-GB"/>
        </w:rPr>
      </w:pPr>
      <w:r>
        <w:rPr>
          <w:rFonts w:cs="Arial"/>
        </w:rPr>
        <w:br w:type="page"/>
      </w:r>
    </w:p>
    <w:p w14:paraId="58BA56F2" w14:textId="4F914C03" w:rsidR="0023720F" w:rsidRPr="00490DCE" w:rsidRDefault="000A5CFA">
      <w:pPr>
        <w:pStyle w:val="tabletitle"/>
        <w:rPr>
          <w:rFonts w:cs="Arial"/>
        </w:rPr>
      </w:pPr>
      <w:r w:rsidRPr="00490DCE">
        <w:rPr>
          <w:rFonts w:cs="Arial"/>
        </w:rPr>
        <w:lastRenderedPageBreak/>
        <w:t>5.1.7 Broadband, Communications and the Digital Economy</w:t>
      </w:r>
    </w:p>
    <w:tbl>
      <w:tblPr>
        <w:tblStyle w:val="LightList"/>
        <w:tblW w:w="4949" w:type="pct"/>
        <w:tblLayout w:type="fixed"/>
        <w:tblLook w:val="0020" w:firstRow="1" w:lastRow="0" w:firstColumn="0" w:lastColumn="0" w:noHBand="0" w:noVBand="0"/>
        <w:tblDescription w:val="Post-implementation Review compliance status by agency - Department of Broadband, Communications and the Digital Economy"/>
      </w:tblPr>
      <w:tblGrid>
        <w:gridCol w:w="1969"/>
        <w:gridCol w:w="1969"/>
        <w:gridCol w:w="1971"/>
        <w:gridCol w:w="1975"/>
        <w:gridCol w:w="1864"/>
      </w:tblGrid>
      <w:tr w:rsidR="0023720F" w:rsidRPr="00490DCE" w14:paraId="71199629"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AC98C57" w14:textId="62A27492" w:rsidR="0023720F" w:rsidRDefault="0023720F"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23720F" w:rsidRPr="00490DCE" w14:paraId="2E2172D8"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9D8D2F3" w14:textId="0D5EFE5A" w:rsidR="0023720F" w:rsidRPr="0033158E" w:rsidRDefault="0023720F" w:rsidP="00807131">
            <w:pPr>
              <w:pStyle w:val="tablehead"/>
              <w:outlineLvl w:val="3"/>
              <w:rPr>
                <w:rFonts w:ascii="Arial" w:hAnsi="Arial" w:cs="Arial"/>
                <w:b w:val="0"/>
                <w:color w:val="auto"/>
              </w:rPr>
            </w:pPr>
            <w:r w:rsidRPr="0033158E">
              <w:rPr>
                <w:rStyle w:val="italic"/>
                <w:rFonts w:ascii="Arial" w:hAnsi="Arial" w:cs="Arial"/>
                <w:b w:val="0"/>
                <w:i/>
                <w:color w:val="auto"/>
              </w:rPr>
              <w:t>Description of regulatory proposal</w:t>
            </w:r>
          </w:p>
        </w:tc>
      </w:tr>
      <w:tr w:rsidR="0023720F" w:rsidRPr="00490DCE" w14:paraId="603D7562" w14:textId="77777777" w:rsidTr="0023720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1010" w:type="pct"/>
          </w:tcPr>
          <w:p w14:paraId="2CA7111B" w14:textId="5FF1175D" w:rsidR="0023720F" w:rsidRPr="0033158E" w:rsidRDefault="0023720F" w:rsidP="00807131">
            <w:pPr>
              <w:pStyle w:val="tablehead"/>
              <w:outlineLvl w:val="3"/>
              <w:rPr>
                <w:rStyle w:val="bold"/>
                <w:rFonts w:ascii="Arial" w:hAnsi="Arial" w:cs="Arial"/>
                <w:b w:val="0"/>
                <w:color w:val="auto"/>
              </w:rPr>
            </w:pPr>
            <w:r w:rsidRPr="0033158E">
              <w:rPr>
                <w:rFonts w:ascii="Arial" w:hAnsi="Arial" w:cs="Arial"/>
                <w:b w:val="0"/>
                <w:color w:val="auto"/>
              </w:rPr>
              <w:t>Reason for PIR</w:t>
            </w:r>
          </w:p>
        </w:tc>
        <w:tc>
          <w:tcPr>
            <w:tcW w:w="1010" w:type="pct"/>
          </w:tcPr>
          <w:p w14:paraId="2047F7AD" w14:textId="3F1A39D4" w:rsidR="0023720F" w:rsidRPr="0033158E" w:rsidRDefault="0023720F"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11" w:type="pct"/>
          </w:tcPr>
          <w:p w14:paraId="03F56A8A" w14:textId="6C295B32" w:rsidR="0023720F" w:rsidRPr="0033158E" w:rsidRDefault="0023720F"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13" w:type="pct"/>
          </w:tcPr>
          <w:p w14:paraId="7904D691" w14:textId="099C7D8F" w:rsidR="0023720F" w:rsidRPr="0033158E" w:rsidRDefault="0023720F"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956" w:type="pct"/>
          </w:tcPr>
          <w:p w14:paraId="49A87FD9" w14:textId="53899C1B" w:rsidR="0023720F" w:rsidRPr="0033158E" w:rsidRDefault="0023720F"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23720F" w:rsidRPr="00490DCE" w14:paraId="19234336" w14:textId="77777777" w:rsidTr="0023720F">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770989C9"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Changes to the Anti-siphoning System</w:t>
            </w:r>
          </w:p>
          <w:p w14:paraId="43F7EBF1" w14:textId="77777777" w:rsidR="0023720F" w:rsidRPr="00397586" w:rsidRDefault="0023720F">
            <w:pPr>
              <w:pStyle w:val="body"/>
              <w:rPr>
                <w:rFonts w:ascii="Arial" w:hAnsi="Arial" w:cs="Arial"/>
                <w:i/>
                <w:color w:val="auto"/>
              </w:rPr>
            </w:pPr>
            <w:r w:rsidRPr="00397586">
              <w:rPr>
                <w:rStyle w:val="italic"/>
                <w:rFonts w:ascii="Arial" w:hAnsi="Arial" w:cs="Arial"/>
                <w:i/>
                <w:color w:val="auto"/>
              </w:rPr>
              <w:t>Changes that will affect television coverage of key sporting events in Australia.</w:t>
            </w:r>
          </w:p>
        </w:tc>
      </w:tr>
      <w:tr w:rsidR="0023720F" w:rsidRPr="00490DCE" w14:paraId="56F7E0AC" w14:textId="77777777" w:rsidTr="0023720F">
        <w:trPr>
          <w:trHeight w:val="524"/>
        </w:trPr>
        <w:tc>
          <w:tcPr>
            <w:cnfStyle w:val="000010000000" w:firstRow="0" w:lastRow="0" w:firstColumn="0" w:lastColumn="0" w:oddVBand="1" w:evenVBand="0" w:oddHBand="0" w:evenHBand="0" w:firstRowFirstColumn="0" w:firstRowLastColumn="0" w:lastRowFirstColumn="0" w:lastRowLastColumn="0"/>
            <w:tcW w:w="1010" w:type="pct"/>
          </w:tcPr>
          <w:p w14:paraId="78D62D1B"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4B8D5161"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0777D7B9"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1B9B93C0"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3A7FE16D"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543F29F4"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7E730AA9" w14:textId="77777777" w:rsidR="0023720F" w:rsidRPr="00484EA1" w:rsidRDefault="0023720F">
            <w:pPr>
              <w:pStyle w:val="body"/>
              <w:rPr>
                <w:rStyle w:val="super"/>
                <w:rFonts w:cs="Arial"/>
                <w:b/>
                <w:color w:val="auto"/>
              </w:rPr>
            </w:pPr>
            <w:r w:rsidRPr="00484EA1">
              <w:rPr>
                <w:rStyle w:val="bold"/>
                <w:rFonts w:ascii="Arial" w:hAnsi="Arial" w:cs="Arial"/>
                <w:b/>
                <w:color w:val="auto"/>
              </w:rPr>
              <w:t>National Broadband Network (NBN) Decisions</w:t>
            </w:r>
            <w:r w:rsidRPr="00484EA1">
              <w:rPr>
                <w:rStyle w:val="super"/>
                <w:rFonts w:cs="Arial"/>
                <w:b/>
                <w:color w:val="auto"/>
              </w:rPr>
              <w:t>a</w:t>
            </w:r>
          </w:p>
          <w:p w14:paraId="1E6CEFFB" w14:textId="77777777" w:rsidR="0023720F" w:rsidRPr="00397586" w:rsidRDefault="0023720F">
            <w:pPr>
              <w:pStyle w:val="body"/>
              <w:rPr>
                <w:rFonts w:ascii="Arial" w:hAnsi="Arial" w:cs="Arial"/>
                <w:i/>
                <w:color w:val="auto"/>
              </w:rPr>
            </w:pPr>
            <w:r w:rsidRPr="00397586">
              <w:rPr>
                <w:rStyle w:val="italic"/>
                <w:rFonts w:ascii="Arial" w:hAnsi="Arial" w:cs="Arial"/>
                <w:i/>
                <w:color w:val="auto"/>
                <w:spacing w:val="-2"/>
              </w:rPr>
              <w:t>Decisions in response to the establishment of the NBN.</w:t>
            </w:r>
          </w:p>
        </w:tc>
      </w:tr>
      <w:tr w:rsidR="0023720F" w:rsidRPr="00490DCE" w14:paraId="4892E0B9" w14:textId="77777777" w:rsidTr="0023720F">
        <w:trPr>
          <w:trHeight w:val="304"/>
        </w:trPr>
        <w:tc>
          <w:tcPr>
            <w:cnfStyle w:val="000010000000" w:firstRow="0" w:lastRow="0" w:firstColumn="0" w:lastColumn="0" w:oddVBand="1" w:evenVBand="0" w:oddHBand="0" w:evenHBand="0" w:firstRowFirstColumn="0" w:firstRowLastColumn="0" w:lastRowFirstColumn="0" w:lastRowLastColumn="0"/>
            <w:tcW w:w="1010" w:type="pct"/>
          </w:tcPr>
          <w:p w14:paraId="16395135"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2FED1062"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After April 2009</w:t>
            </w:r>
          </w:p>
        </w:tc>
        <w:tc>
          <w:tcPr>
            <w:cnfStyle w:val="000010000000" w:firstRow="0" w:lastRow="0" w:firstColumn="0" w:lastColumn="0" w:oddVBand="1" w:evenVBand="0" w:oddHBand="0" w:evenHBand="0" w:firstRowFirstColumn="0" w:firstRowLastColumn="0" w:lastRowFirstColumn="0" w:lastRowLastColumn="0"/>
            <w:tcW w:w="1011" w:type="pct"/>
          </w:tcPr>
          <w:p w14:paraId="349A46EF" w14:textId="77777777" w:rsidR="0023720F" w:rsidRPr="00490DCE" w:rsidRDefault="0023720F">
            <w:pPr>
              <w:pStyle w:val="body"/>
              <w:jc w:val="center"/>
              <w:rPr>
                <w:rFonts w:ascii="Arial" w:hAnsi="Arial" w:cs="Arial"/>
                <w:color w:val="auto"/>
              </w:rPr>
            </w:pPr>
            <w:r w:rsidRPr="00490DCE">
              <w:rPr>
                <w:rFonts w:ascii="Arial" w:hAnsi="Arial" w:cs="Arial"/>
                <w:color w:val="auto"/>
              </w:rPr>
              <w:t>July 2013</w:t>
            </w:r>
            <w:r w:rsidRPr="00490DCE">
              <w:rPr>
                <w:rStyle w:val="super"/>
                <w:rFonts w:cs="Arial"/>
                <w:color w:val="auto"/>
              </w:rPr>
              <w:t>b</w:t>
            </w:r>
          </w:p>
        </w:tc>
        <w:tc>
          <w:tcPr>
            <w:tcW w:w="1013" w:type="pct"/>
          </w:tcPr>
          <w:p w14:paraId="1DA015AB"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956" w:type="pct"/>
          </w:tcPr>
          <w:p w14:paraId="216C089B"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0B1330BB" w14:textId="77777777" w:rsidTr="0023720F">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5000" w:type="pct"/>
            <w:gridSpan w:val="5"/>
          </w:tcPr>
          <w:p w14:paraId="45C3FECF" w14:textId="77777777" w:rsidR="0023720F" w:rsidRPr="00490DCE" w:rsidRDefault="0023720F">
            <w:pPr>
              <w:pStyle w:val="body"/>
              <w:rPr>
                <w:rFonts w:ascii="Arial" w:hAnsi="Arial" w:cs="Arial"/>
                <w:color w:val="auto"/>
              </w:rPr>
            </w:pPr>
            <w:r w:rsidRPr="00397586">
              <w:rPr>
                <w:rStyle w:val="italic"/>
                <w:rFonts w:ascii="Arial" w:hAnsi="Arial" w:cs="Arial"/>
                <w:i/>
                <w:color w:val="auto"/>
                <w:spacing w:val="-4"/>
              </w:rPr>
              <w:t>Decisions in response to NBN implementation review</w:t>
            </w:r>
            <w:r w:rsidRPr="00490DCE">
              <w:rPr>
                <w:rStyle w:val="italic"/>
                <w:rFonts w:ascii="Arial" w:hAnsi="Arial" w:cs="Arial"/>
                <w:color w:val="auto"/>
                <w:spacing w:val="-4"/>
              </w:rPr>
              <w:t>.</w:t>
            </w:r>
          </w:p>
        </w:tc>
      </w:tr>
      <w:tr w:rsidR="0023720F" w:rsidRPr="00490DCE" w14:paraId="08ED2E99" w14:textId="77777777" w:rsidTr="0023720F">
        <w:trPr>
          <w:trHeight w:val="535"/>
        </w:trPr>
        <w:tc>
          <w:tcPr>
            <w:cnfStyle w:val="000010000000" w:firstRow="0" w:lastRow="0" w:firstColumn="0" w:lastColumn="0" w:oddVBand="1" w:evenVBand="0" w:oddHBand="0" w:evenHBand="0" w:firstRowFirstColumn="0" w:firstRowLastColumn="0" w:lastRowFirstColumn="0" w:lastRowLastColumn="0"/>
            <w:tcW w:w="1010" w:type="pct"/>
          </w:tcPr>
          <w:p w14:paraId="7A412E20"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31938AAC"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After </w:t>
            </w:r>
            <w:r w:rsidRPr="00490DCE">
              <w:rPr>
                <w:rFonts w:ascii="Arial" w:hAnsi="Arial" w:cs="Arial"/>
                <w:color w:val="auto"/>
              </w:rPr>
              <w:br/>
              <w:t>December 2010</w:t>
            </w:r>
          </w:p>
        </w:tc>
        <w:tc>
          <w:tcPr>
            <w:cnfStyle w:val="000010000000" w:firstRow="0" w:lastRow="0" w:firstColumn="0" w:lastColumn="0" w:oddVBand="1" w:evenVBand="0" w:oddHBand="0" w:evenHBand="0" w:firstRowFirstColumn="0" w:firstRowLastColumn="0" w:lastRowFirstColumn="0" w:lastRowLastColumn="0"/>
            <w:tcW w:w="1011" w:type="pct"/>
          </w:tcPr>
          <w:p w14:paraId="043BA482" w14:textId="77777777" w:rsidR="0023720F" w:rsidRPr="00490DCE" w:rsidRDefault="0023720F">
            <w:pPr>
              <w:pStyle w:val="body"/>
              <w:jc w:val="center"/>
              <w:rPr>
                <w:rFonts w:ascii="Arial" w:hAnsi="Arial" w:cs="Arial"/>
                <w:color w:val="auto"/>
              </w:rPr>
            </w:pPr>
            <w:r w:rsidRPr="00490DCE">
              <w:rPr>
                <w:rFonts w:ascii="Arial" w:hAnsi="Arial" w:cs="Arial"/>
                <w:color w:val="auto"/>
              </w:rPr>
              <w:t>July 2013</w:t>
            </w:r>
            <w:r w:rsidRPr="00490DCE">
              <w:rPr>
                <w:rStyle w:val="super"/>
                <w:rFonts w:cs="Arial"/>
                <w:color w:val="auto"/>
              </w:rPr>
              <w:t>b</w:t>
            </w:r>
          </w:p>
        </w:tc>
        <w:tc>
          <w:tcPr>
            <w:tcW w:w="1013" w:type="pct"/>
          </w:tcPr>
          <w:p w14:paraId="7F22AF4B"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956" w:type="pct"/>
          </w:tcPr>
          <w:p w14:paraId="70ABC68E"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53FB6EF8"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0E21648C"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 xml:space="preserve">Broadcasting &amp; </w:t>
            </w:r>
            <w:proofErr w:type="spellStart"/>
            <w:r w:rsidRPr="00484EA1">
              <w:rPr>
                <w:rStyle w:val="bold"/>
                <w:rFonts w:ascii="Arial" w:hAnsi="Arial" w:cs="Arial"/>
                <w:b/>
                <w:color w:val="auto"/>
              </w:rPr>
              <w:t>Datacasting</w:t>
            </w:r>
            <w:proofErr w:type="spellEnd"/>
            <w:r w:rsidRPr="00484EA1">
              <w:rPr>
                <w:rStyle w:val="bold"/>
                <w:rFonts w:ascii="Arial" w:hAnsi="Arial" w:cs="Arial"/>
                <w:b/>
                <w:color w:val="auto"/>
              </w:rPr>
              <w:t xml:space="preserve"> Services (Parental Lock) Technical Standard 2010</w:t>
            </w:r>
          </w:p>
          <w:p w14:paraId="321B14D8" w14:textId="77777777" w:rsidR="0023720F" w:rsidRPr="00490DCE" w:rsidRDefault="0023720F">
            <w:pPr>
              <w:pStyle w:val="body"/>
              <w:rPr>
                <w:rFonts w:ascii="Arial" w:hAnsi="Arial" w:cs="Arial"/>
                <w:color w:val="auto"/>
              </w:rPr>
            </w:pPr>
            <w:r w:rsidRPr="00397586">
              <w:rPr>
                <w:rStyle w:val="italic"/>
                <w:rFonts w:ascii="Arial" w:hAnsi="Arial" w:cs="Arial"/>
                <w:i/>
                <w:color w:val="auto"/>
              </w:rPr>
              <w:t>Requiring particular digital television reception equipment to have parental lock capabilities</w:t>
            </w:r>
            <w:r w:rsidRPr="00490DCE">
              <w:rPr>
                <w:rStyle w:val="italic"/>
                <w:rFonts w:ascii="Arial" w:hAnsi="Arial" w:cs="Arial"/>
                <w:color w:val="auto"/>
              </w:rPr>
              <w:t>.</w:t>
            </w:r>
          </w:p>
        </w:tc>
      </w:tr>
      <w:tr w:rsidR="0023720F" w:rsidRPr="00490DCE" w14:paraId="2C4C10AC" w14:textId="77777777" w:rsidTr="0023720F">
        <w:trPr>
          <w:trHeight w:val="304"/>
        </w:trPr>
        <w:tc>
          <w:tcPr>
            <w:cnfStyle w:val="000010000000" w:firstRow="0" w:lastRow="0" w:firstColumn="0" w:lastColumn="0" w:oddVBand="1" w:evenVBand="0" w:oddHBand="0" w:evenHBand="0" w:firstRowFirstColumn="0" w:firstRowLastColumn="0" w:lastRowFirstColumn="0" w:lastRowLastColumn="0"/>
            <w:tcW w:w="1010" w:type="pct"/>
          </w:tcPr>
          <w:p w14:paraId="6FDD0B63" w14:textId="77777777" w:rsidR="0023720F" w:rsidRPr="00490DCE" w:rsidRDefault="0023720F">
            <w:pPr>
              <w:pStyle w:val="body"/>
              <w:jc w:val="center"/>
              <w:rPr>
                <w:rFonts w:ascii="Arial" w:hAnsi="Arial" w:cs="Arial"/>
                <w:color w:val="auto"/>
              </w:rPr>
            </w:pPr>
            <w:r w:rsidRPr="00490DCE">
              <w:rPr>
                <w:rFonts w:ascii="Arial" w:hAnsi="Arial" w:cs="Arial"/>
                <w:color w:val="auto"/>
              </w:rPr>
              <w:t>Non-compliant</w:t>
            </w:r>
          </w:p>
        </w:tc>
        <w:tc>
          <w:tcPr>
            <w:tcW w:w="1010" w:type="pct"/>
          </w:tcPr>
          <w:p w14:paraId="0E0AD95E"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February 2011</w:t>
            </w:r>
          </w:p>
        </w:tc>
        <w:tc>
          <w:tcPr>
            <w:cnfStyle w:val="000010000000" w:firstRow="0" w:lastRow="0" w:firstColumn="0" w:lastColumn="0" w:oddVBand="1" w:evenVBand="0" w:oddHBand="0" w:evenHBand="0" w:firstRowFirstColumn="0" w:firstRowLastColumn="0" w:lastRowFirstColumn="0" w:lastRowLastColumn="0"/>
            <w:tcW w:w="1011" w:type="pct"/>
          </w:tcPr>
          <w:p w14:paraId="51419D20" w14:textId="77777777" w:rsidR="0023720F" w:rsidRPr="00490DCE" w:rsidRDefault="0023720F">
            <w:pPr>
              <w:pStyle w:val="body"/>
              <w:jc w:val="center"/>
              <w:rPr>
                <w:rFonts w:ascii="Arial" w:hAnsi="Arial" w:cs="Arial"/>
                <w:color w:val="auto"/>
              </w:rPr>
            </w:pPr>
            <w:r w:rsidRPr="00490DCE">
              <w:rPr>
                <w:rFonts w:ascii="Arial" w:hAnsi="Arial" w:cs="Arial"/>
                <w:color w:val="auto"/>
              </w:rPr>
              <w:t>February 2013</w:t>
            </w:r>
          </w:p>
        </w:tc>
        <w:tc>
          <w:tcPr>
            <w:tcW w:w="1013" w:type="pct"/>
          </w:tcPr>
          <w:p w14:paraId="5D35B462"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956" w:type="pct"/>
          </w:tcPr>
          <w:p w14:paraId="7055F2AF"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379E82EF"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7D285BF1"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Improved Competition in Telecommunications Markets</w:t>
            </w:r>
          </w:p>
          <w:p w14:paraId="105C1501" w14:textId="77777777" w:rsidR="0023720F" w:rsidRPr="00490DCE" w:rsidRDefault="0023720F">
            <w:pPr>
              <w:pStyle w:val="body"/>
              <w:rPr>
                <w:rFonts w:ascii="Arial" w:hAnsi="Arial" w:cs="Arial"/>
                <w:color w:val="auto"/>
              </w:rPr>
            </w:pPr>
            <w:r w:rsidRPr="00397586">
              <w:rPr>
                <w:rStyle w:val="italic"/>
                <w:rFonts w:ascii="Arial" w:hAnsi="Arial" w:cs="Arial"/>
                <w:i/>
                <w:color w:val="auto"/>
              </w:rPr>
              <w:t>Proposes structural or functional separation of Telstra wholesale and retail operations</w:t>
            </w:r>
            <w:r w:rsidRPr="00490DCE">
              <w:rPr>
                <w:rStyle w:val="italic"/>
                <w:rFonts w:ascii="Arial" w:hAnsi="Arial" w:cs="Arial"/>
                <w:color w:val="auto"/>
              </w:rPr>
              <w:t>.</w:t>
            </w:r>
          </w:p>
        </w:tc>
      </w:tr>
      <w:tr w:rsidR="0023720F" w:rsidRPr="00490DCE" w14:paraId="7092A7CB" w14:textId="77777777" w:rsidTr="0023720F">
        <w:trPr>
          <w:trHeight w:val="304"/>
        </w:trPr>
        <w:tc>
          <w:tcPr>
            <w:cnfStyle w:val="000010000000" w:firstRow="0" w:lastRow="0" w:firstColumn="0" w:lastColumn="0" w:oddVBand="1" w:evenVBand="0" w:oddHBand="0" w:evenHBand="0" w:firstRowFirstColumn="0" w:firstRowLastColumn="0" w:lastRowFirstColumn="0" w:lastRowLastColumn="0"/>
            <w:tcW w:w="1010" w:type="pct"/>
          </w:tcPr>
          <w:p w14:paraId="5711CDCF"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611166DF"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2016</w:t>
            </w:r>
          </w:p>
        </w:tc>
        <w:tc>
          <w:tcPr>
            <w:cnfStyle w:val="000010000000" w:firstRow="0" w:lastRow="0" w:firstColumn="0" w:lastColumn="0" w:oddVBand="1" w:evenVBand="0" w:oddHBand="0" w:evenHBand="0" w:firstRowFirstColumn="0" w:firstRowLastColumn="0" w:lastRowFirstColumn="0" w:lastRowLastColumn="0"/>
            <w:tcW w:w="1011" w:type="pct"/>
          </w:tcPr>
          <w:p w14:paraId="73A46FB2" w14:textId="77777777" w:rsidR="0023720F" w:rsidRPr="00490DCE" w:rsidRDefault="0023720F">
            <w:pPr>
              <w:pStyle w:val="body"/>
              <w:jc w:val="center"/>
              <w:rPr>
                <w:rFonts w:ascii="Arial" w:hAnsi="Arial" w:cs="Arial"/>
                <w:color w:val="auto"/>
              </w:rPr>
            </w:pPr>
            <w:r w:rsidRPr="00490DCE">
              <w:rPr>
                <w:rFonts w:ascii="Arial" w:hAnsi="Arial" w:cs="Arial"/>
                <w:color w:val="auto"/>
              </w:rPr>
              <w:t>June 2018</w:t>
            </w:r>
          </w:p>
        </w:tc>
        <w:tc>
          <w:tcPr>
            <w:tcW w:w="1013" w:type="pct"/>
          </w:tcPr>
          <w:p w14:paraId="065DF515"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5D8FCC04"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5E4AF23D"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453BF7A1"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Problem Gambling</w:t>
            </w:r>
          </w:p>
          <w:p w14:paraId="2897B016" w14:textId="77777777" w:rsidR="0023720F" w:rsidRPr="00490DCE" w:rsidRDefault="0023720F">
            <w:pPr>
              <w:pStyle w:val="body"/>
              <w:rPr>
                <w:rFonts w:ascii="Arial" w:hAnsi="Arial" w:cs="Arial"/>
                <w:color w:val="auto"/>
              </w:rPr>
            </w:pPr>
            <w:r w:rsidRPr="00397586">
              <w:rPr>
                <w:rStyle w:val="italic"/>
                <w:rFonts w:ascii="Arial" w:hAnsi="Arial" w:cs="Arial"/>
                <w:i/>
                <w:color w:val="auto"/>
              </w:rPr>
              <w:t>Ban the promotion of live odds during sports coverage</w:t>
            </w:r>
            <w:r w:rsidRPr="00490DCE">
              <w:rPr>
                <w:rStyle w:val="italic"/>
                <w:rFonts w:ascii="Arial" w:hAnsi="Arial" w:cs="Arial"/>
                <w:color w:val="auto"/>
              </w:rPr>
              <w:t>.</w:t>
            </w:r>
          </w:p>
        </w:tc>
      </w:tr>
      <w:tr w:rsidR="0023720F" w:rsidRPr="00490DCE" w14:paraId="1DA65116" w14:textId="77777777" w:rsidTr="0023720F">
        <w:trPr>
          <w:trHeight w:val="535"/>
        </w:trPr>
        <w:tc>
          <w:tcPr>
            <w:cnfStyle w:val="000010000000" w:firstRow="0" w:lastRow="0" w:firstColumn="0" w:lastColumn="0" w:oddVBand="1" w:evenVBand="0" w:oddHBand="0" w:evenHBand="0" w:firstRowFirstColumn="0" w:firstRowLastColumn="0" w:lastRowFirstColumn="0" w:lastRowLastColumn="0"/>
            <w:tcW w:w="1010" w:type="pct"/>
          </w:tcPr>
          <w:p w14:paraId="7C3BFB7A" w14:textId="77777777" w:rsidR="0023720F" w:rsidRPr="00490DCE" w:rsidRDefault="0023720F">
            <w:pPr>
              <w:pStyle w:val="body"/>
              <w:jc w:val="center"/>
              <w:rPr>
                <w:rFonts w:ascii="Arial" w:hAnsi="Arial" w:cs="Arial"/>
                <w:color w:val="auto"/>
              </w:rPr>
            </w:pPr>
            <w:r w:rsidRPr="00490DCE">
              <w:rPr>
                <w:rFonts w:ascii="Arial" w:hAnsi="Arial" w:cs="Arial"/>
                <w:color w:val="auto"/>
              </w:rPr>
              <w:t>Non-compliant</w:t>
            </w:r>
          </w:p>
        </w:tc>
        <w:tc>
          <w:tcPr>
            <w:tcW w:w="1010" w:type="pct"/>
          </w:tcPr>
          <w:p w14:paraId="242B780D"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32A94099"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221FF810"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3F7C466B"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542A5B3A" w14:textId="77777777" w:rsidTr="0023720F">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5000" w:type="pct"/>
            <w:gridSpan w:val="5"/>
          </w:tcPr>
          <w:p w14:paraId="10818725" w14:textId="77777777" w:rsidR="0023720F" w:rsidRPr="00397586" w:rsidRDefault="0023720F">
            <w:pPr>
              <w:pStyle w:val="body"/>
              <w:rPr>
                <w:rFonts w:ascii="Arial" w:hAnsi="Arial" w:cs="Arial"/>
                <w:i/>
                <w:color w:val="auto"/>
              </w:rPr>
            </w:pPr>
            <w:r w:rsidRPr="00397586">
              <w:rPr>
                <w:rStyle w:val="italic"/>
                <w:rFonts w:ascii="Arial" w:hAnsi="Arial" w:cs="Arial"/>
                <w:i/>
                <w:color w:val="auto"/>
              </w:rPr>
              <w:t>Extend pre-commitment to online betting services</w:t>
            </w:r>
          </w:p>
        </w:tc>
      </w:tr>
      <w:tr w:rsidR="0023720F" w:rsidRPr="00490DCE" w14:paraId="7AD9539D" w14:textId="77777777" w:rsidTr="0023720F">
        <w:trPr>
          <w:trHeight w:val="535"/>
        </w:trPr>
        <w:tc>
          <w:tcPr>
            <w:cnfStyle w:val="000010000000" w:firstRow="0" w:lastRow="0" w:firstColumn="0" w:lastColumn="0" w:oddVBand="1" w:evenVBand="0" w:oddHBand="0" w:evenHBand="0" w:firstRowFirstColumn="0" w:firstRowLastColumn="0" w:lastRowFirstColumn="0" w:lastRowLastColumn="0"/>
            <w:tcW w:w="1010" w:type="pct"/>
          </w:tcPr>
          <w:p w14:paraId="77FA902A" w14:textId="77777777" w:rsidR="0023720F" w:rsidRPr="00490DCE" w:rsidRDefault="0023720F">
            <w:pPr>
              <w:pStyle w:val="body"/>
              <w:jc w:val="center"/>
              <w:rPr>
                <w:rFonts w:ascii="Arial" w:hAnsi="Arial" w:cs="Arial"/>
                <w:color w:val="auto"/>
              </w:rPr>
            </w:pPr>
            <w:r w:rsidRPr="00490DCE">
              <w:rPr>
                <w:rFonts w:ascii="Arial" w:hAnsi="Arial" w:cs="Arial"/>
                <w:color w:val="auto"/>
              </w:rPr>
              <w:t>Non-compliant</w:t>
            </w:r>
          </w:p>
        </w:tc>
        <w:tc>
          <w:tcPr>
            <w:tcW w:w="1010" w:type="pct"/>
          </w:tcPr>
          <w:p w14:paraId="6279A221"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6F4DA407"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109A8ACB"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13CB571B"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352084FF" w14:textId="77777777" w:rsidTr="0023720F">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5000" w:type="pct"/>
            <w:gridSpan w:val="5"/>
          </w:tcPr>
          <w:p w14:paraId="7E699FB3" w14:textId="77777777" w:rsidR="0023720F" w:rsidRPr="00397586" w:rsidRDefault="0023720F">
            <w:pPr>
              <w:pStyle w:val="body"/>
              <w:rPr>
                <w:rFonts w:ascii="Arial" w:hAnsi="Arial" w:cs="Arial"/>
                <w:i/>
                <w:color w:val="auto"/>
              </w:rPr>
            </w:pPr>
            <w:r w:rsidRPr="00397586">
              <w:rPr>
                <w:rStyle w:val="italic"/>
                <w:rFonts w:ascii="Arial" w:hAnsi="Arial" w:cs="Arial"/>
                <w:i/>
                <w:color w:val="auto"/>
              </w:rPr>
              <w:t>Limits on betting inducements and credit requirements</w:t>
            </w:r>
          </w:p>
        </w:tc>
      </w:tr>
      <w:tr w:rsidR="0023720F" w:rsidRPr="00490DCE" w14:paraId="1A7A4364" w14:textId="77777777" w:rsidTr="0023720F">
        <w:trPr>
          <w:trHeight w:val="535"/>
        </w:trPr>
        <w:tc>
          <w:tcPr>
            <w:cnfStyle w:val="000010000000" w:firstRow="0" w:lastRow="0" w:firstColumn="0" w:lastColumn="0" w:oddVBand="1" w:evenVBand="0" w:oddHBand="0" w:evenHBand="0" w:firstRowFirstColumn="0" w:firstRowLastColumn="0" w:lastRowFirstColumn="0" w:lastRowLastColumn="0"/>
            <w:tcW w:w="1010" w:type="pct"/>
          </w:tcPr>
          <w:p w14:paraId="3B9B04ED" w14:textId="77777777" w:rsidR="0023720F" w:rsidRPr="00490DCE" w:rsidRDefault="0023720F">
            <w:pPr>
              <w:pStyle w:val="body"/>
              <w:jc w:val="center"/>
              <w:rPr>
                <w:rFonts w:ascii="Arial" w:hAnsi="Arial" w:cs="Arial"/>
                <w:color w:val="auto"/>
              </w:rPr>
            </w:pPr>
            <w:r w:rsidRPr="00490DCE">
              <w:rPr>
                <w:rFonts w:ascii="Arial" w:hAnsi="Arial" w:cs="Arial"/>
                <w:color w:val="auto"/>
              </w:rPr>
              <w:t>Non-compliant</w:t>
            </w:r>
          </w:p>
        </w:tc>
        <w:tc>
          <w:tcPr>
            <w:tcW w:w="1010" w:type="pct"/>
          </w:tcPr>
          <w:p w14:paraId="4518CD37"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63859E01"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180B8334"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0CB51884"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1CE6E7F1"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5F781916"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Extension of Telstra Retail Price Controls to June 2014</w:t>
            </w:r>
          </w:p>
          <w:p w14:paraId="1D673EF4" w14:textId="77777777" w:rsidR="0023720F" w:rsidRPr="00397586" w:rsidRDefault="0023720F">
            <w:pPr>
              <w:pStyle w:val="body"/>
              <w:rPr>
                <w:rFonts w:ascii="Arial" w:hAnsi="Arial" w:cs="Arial"/>
                <w:i/>
                <w:color w:val="auto"/>
              </w:rPr>
            </w:pPr>
            <w:r w:rsidRPr="00397586">
              <w:rPr>
                <w:rStyle w:val="italic"/>
                <w:rFonts w:ascii="Arial" w:hAnsi="Arial" w:cs="Arial"/>
                <w:i/>
                <w:color w:val="auto"/>
              </w:rPr>
              <w:t>Extending retail price controls on Telstra fixed-line telephone services to June 2014.</w:t>
            </w:r>
          </w:p>
        </w:tc>
      </w:tr>
      <w:tr w:rsidR="0023720F" w:rsidRPr="00490DCE" w14:paraId="466DE2A6" w14:textId="77777777" w:rsidTr="0023720F">
        <w:trPr>
          <w:trHeight w:val="304"/>
        </w:trPr>
        <w:tc>
          <w:tcPr>
            <w:cnfStyle w:val="000010000000" w:firstRow="0" w:lastRow="0" w:firstColumn="0" w:lastColumn="0" w:oddVBand="1" w:evenVBand="0" w:oddHBand="0" w:evenHBand="0" w:firstRowFirstColumn="0" w:firstRowLastColumn="0" w:lastRowFirstColumn="0" w:lastRowLastColumn="0"/>
            <w:tcW w:w="1010" w:type="pct"/>
          </w:tcPr>
          <w:p w14:paraId="615CBF19"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3E1C04EA"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2012</w:t>
            </w:r>
          </w:p>
        </w:tc>
        <w:tc>
          <w:tcPr>
            <w:cnfStyle w:val="000010000000" w:firstRow="0" w:lastRow="0" w:firstColumn="0" w:lastColumn="0" w:oddVBand="1" w:evenVBand="0" w:oddHBand="0" w:evenHBand="0" w:firstRowFirstColumn="0" w:firstRowLastColumn="0" w:lastRowFirstColumn="0" w:lastRowLastColumn="0"/>
            <w:tcW w:w="1011" w:type="pct"/>
          </w:tcPr>
          <w:p w14:paraId="53F54EE3" w14:textId="77777777" w:rsidR="0023720F" w:rsidRPr="00490DCE" w:rsidRDefault="0023720F">
            <w:pPr>
              <w:pStyle w:val="body"/>
              <w:jc w:val="center"/>
              <w:rPr>
                <w:rFonts w:ascii="Arial" w:hAnsi="Arial" w:cs="Arial"/>
                <w:color w:val="auto"/>
              </w:rPr>
            </w:pPr>
            <w:r w:rsidRPr="00490DCE">
              <w:rPr>
                <w:rFonts w:ascii="Arial" w:hAnsi="Arial" w:cs="Arial"/>
                <w:color w:val="auto"/>
              </w:rPr>
              <w:t>June 2014</w:t>
            </w:r>
          </w:p>
        </w:tc>
        <w:tc>
          <w:tcPr>
            <w:tcW w:w="1013" w:type="pct"/>
          </w:tcPr>
          <w:p w14:paraId="04E0380E"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28D31F8B"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0652BA8B" w14:textId="77777777" w:rsidTr="0023720F">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009CDB44" w14:textId="77777777" w:rsidR="0023720F" w:rsidRPr="00484EA1" w:rsidRDefault="0023720F">
            <w:pPr>
              <w:pStyle w:val="body"/>
              <w:rPr>
                <w:rStyle w:val="bold"/>
                <w:rFonts w:ascii="Arial" w:hAnsi="Arial" w:cs="Arial"/>
                <w:b/>
                <w:color w:val="auto"/>
              </w:rPr>
            </w:pPr>
            <w:r w:rsidRPr="00484EA1">
              <w:rPr>
                <w:rStyle w:val="bold"/>
                <w:rFonts w:ascii="Arial" w:hAnsi="Arial" w:cs="Arial"/>
                <w:b/>
                <w:color w:val="auto"/>
              </w:rPr>
              <w:t>Convergence Review</w:t>
            </w:r>
          </w:p>
          <w:p w14:paraId="1C9474D4" w14:textId="77777777" w:rsidR="0023720F" w:rsidRPr="00490DCE" w:rsidRDefault="0023720F">
            <w:pPr>
              <w:pStyle w:val="body"/>
              <w:rPr>
                <w:rFonts w:ascii="Arial" w:hAnsi="Arial" w:cs="Arial"/>
                <w:color w:val="auto"/>
              </w:rPr>
            </w:pPr>
            <w:r w:rsidRPr="00397586">
              <w:rPr>
                <w:rStyle w:val="italic"/>
                <w:rFonts w:ascii="Arial" w:hAnsi="Arial" w:cs="Arial"/>
                <w:i/>
                <w:color w:val="auto"/>
              </w:rPr>
              <w:t>Introduction of Australian content requirements</w:t>
            </w:r>
            <w:r w:rsidRPr="00490DCE">
              <w:rPr>
                <w:rStyle w:val="italic"/>
                <w:rFonts w:ascii="Arial" w:hAnsi="Arial" w:cs="Arial"/>
                <w:color w:val="auto"/>
              </w:rPr>
              <w:t>.</w:t>
            </w:r>
          </w:p>
        </w:tc>
      </w:tr>
      <w:tr w:rsidR="0023720F" w:rsidRPr="00490DCE" w14:paraId="0A760193" w14:textId="77777777" w:rsidTr="0023720F">
        <w:trPr>
          <w:trHeight w:val="304"/>
        </w:trPr>
        <w:tc>
          <w:tcPr>
            <w:cnfStyle w:val="000010000000" w:firstRow="0" w:lastRow="0" w:firstColumn="0" w:lastColumn="0" w:oddVBand="1" w:evenVBand="0" w:oddHBand="0" w:evenHBand="0" w:firstRowFirstColumn="0" w:firstRowLastColumn="0" w:lastRowFirstColumn="0" w:lastRowLastColumn="0"/>
            <w:tcW w:w="1010" w:type="pct"/>
          </w:tcPr>
          <w:p w14:paraId="2ECB1717"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40418C1C"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January 2013</w:t>
            </w:r>
          </w:p>
        </w:tc>
        <w:tc>
          <w:tcPr>
            <w:cnfStyle w:val="000010000000" w:firstRow="0" w:lastRow="0" w:firstColumn="0" w:lastColumn="0" w:oddVBand="1" w:evenVBand="0" w:oddHBand="0" w:evenHBand="0" w:firstRowFirstColumn="0" w:firstRowLastColumn="0" w:lastRowFirstColumn="0" w:lastRowLastColumn="0"/>
            <w:tcW w:w="1011" w:type="pct"/>
          </w:tcPr>
          <w:p w14:paraId="2DA8D997" w14:textId="77777777" w:rsidR="0023720F" w:rsidRPr="00490DCE" w:rsidRDefault="0023720F">
            <w:pPr>
              <w:pStyle w:val="body"/>
              <w:jc w:val="center"/>
              <w:rPr>
                <w:rFonts w:ascii="Arial" w:hAnsi="Arial" w:cs="Arial"/>
                <w:color w:val="auto"/>
              </w:rPr>
            </w:pPr>
            <w:r w:rsidRPr="00490DCE">
              <w:rPr>
                <w:rFonts w:ascii="Arial" w:hAnsi="Arial" w:cs="Arial"/>
                <w:color w:val="auto"/>
              </w:rPr>
              <w:t>January 2015</w:t>
            </w:r>
          </w:p>
        </w:tc>
        <w:tc>
          <w:tcPr>
            <w:tcW w:w="1013" w:type="pct"/>
          </w:tcPr>
          <w:p w14:paraId="41B035B2"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2008BE37"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34920FFA" w14:textId="77777777" w:rsidTr="0023720F">
        <w:trPr>
          <w:cnfStyle w:val="000000100000" w:firstRow="0" w:lastRow="0" w:firstColumn="0" w:lastColumn="0" w:oddVBand="0" w:evenVBand="0" w:oddHBand="1" w:evenHBand="0" w:firstRowFirstColumn="0" w:firstRowLastColumn="0" w:lastRowFirstColumn="0" w:lastRowLastColumn="0"/>
          <w:trHeight w:val="304"/>
        </w:trPr>
        <w:tc>
          <w:tcPr>
            <w:cnfStyle w:val="000010000000" w:firstRow="0" w:lastRow="0" w:firstColumn="0" w:lastColumn="0" w:oddVBand="1" w:evenVBand="0" w:oddHBand="0" w:evenHBand="0" w:firstRowFirstColumn="0" w:firstRowLastColumn="0" w:lastRowFirstColumn="0" w:lastRowLastColumn="0"/>
            <w:tcW w:w="5000" w:type="pct"/>
            <w:gridSpan w:val="5"/>
          </w:tcPr>
          <w:p w14:paraId="6C2723B7" w14:textId="77777777" w:rsidR="0023720F" w:rsidRPr="00490DCE" w:rsidRDefault="0023720F">
            <w:pPr>
              <w:pStyle w:val="body"/>
              <w:rPr>
                <w:rFonts w:ascii="Arial" w:hAnsi="Arial" w:cs="Arial"/>
                <w:color w:val="auto"/>
              </w:rPr>
            </w:pPr>
            <w:r w:rsidRPr="00397586">
              <w:rPr>
                <w:rStyle w:val="italic"/>
                <w:rFonts w:ascii="Arial" w:hAnsi="Arial" w:cs="Arial"/>
                <w:i/>
                <w:color w:val="auto"/>
              </w:rPr>
              <w:t>Repeal of the ‘75 per cent reach rule’</w:t>
            </w:r>
            <w:r w:rsidRPr="00490DCE">
              <w:rPr>
                <w:rStyle w:val="italic"/>
                <w:rFonts w:ascii="Arial" w:hAnsi="Arial" w:cs="Arial"/>
                <w:color w:val="auto"/>
              </w:rPr>
              <w:t>.</w:t>
            </w:r>
          </w:p>
        </w:tc>
      </w:tr>
      <w:tr w:rsidR="0023720F" w:rsidRPr="00490DCE" w14:paraId="16B04BB7" w14:textId="77777777" w:rsidTr="0023720F">
        <w:trPr>
          <w:trHeight w:val="524"/>
        </w:trPr>
        <w:tc>
          <w:tcPr>
            <w:cnfStyle w:val="000010000000" w:firstRow="0" w:lastRow="0" w:firstColumn="0" w:lastColumn="0" w:oddVBand="1" w:evenVBand="0" w:oddHBand="0" w:evenHBand="0" w:firstRowFirstColumn="0" w:firstRowLastColumn="0" w:lastRowFirstColumn="0" w:lastRowLastColumn="0"/>
            <w:tcW w:w="1010" w:type="pct"/>
          </w:tcPr>
          <w:p w14:paraId="627BC442"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4124FB08"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42BF40B1"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3E219786"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29BEC5A0"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r w:rsidR="0023720F" w:rsidRPr="00490DCE" w14:paraId="5D75C8A7" w14:textId="77777777" w:rsidTr="0023720F">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5"/>
          </w:tcPr>
          <w:p w14:paraId="045574FD" w14:textId="77777777" w:rsidR="0023720F" w:rsidRPr="00490DCE" w:rsidRDefault="0023720F">
            <w:pPr>
              <w:pStyle w:val="body"/>
              <w:rPr>
                <w:rFonts w:ascii="Arial" w:hAnsi="Arial" w:cs="Arial"/>
                <w:color w:val="auto"/>
              </w:rPr>
            </w:pPr>
            <w:r w:rsidRPr="00397586">
              <w:rPr>
                <w:rStyle w:val="italic"/>
                <w:rFonts w:ascii="Arial" w:hAnsi="Arial" w:cs="Arial"/>
                <w:i/>
                <w:color w:val="auto"/>
                <w:spacing w:val="-4"/>
              </w:rPr>
              <w:t>Providing permanent spectrum for community television services on the sixth channel, and a decision not to issue spectrum or broadcast licenses for a fourth ‘free to air’ television network</w:t>
            </w:r>
            <w:r w:rsidRPr="00490DCE">
              <w:rPr>
                <w:rStyle w:val="italic"/>
                <w:rFonts w:ascii="Arial" w:hAnsi="Arial" w:cs="Arial"/>
                <w:color w:val="auto"/>
                <w:spacing w:val="-4"/>
              </w:rPr>
              <w:t>.</w:t>
            </w:r>
          </w:p>
        </w:tc>
      </w:tr>
      <w:tr w:rsidR="0023720F" w:rsidRPr="00490DCE" w14:paraId="78BF29F8" w14:textId="77777777" w:rsidTr="0023720F">
        <w:trPr>
          <w:trHeight w:val="524"/>
        </w:trPr>
        <w:tc>
          <w:tcPr>
            <w:cnfStyle w:val="000010000000" w:firstRow="0" w:lastRow="0" w:firstColumn="0" w:lastColumn="0" w:oddVBand="1" w:evenVBand="0" w:oddHBand="0" w:evenHBand="0" w:firstRowFirstColumn="0" w:firstRowLastColumn="0" w:lastRowFirstColumn="0" w:lastRowLastColumn="0"/>
            <w:tcW w:w="1010" w:type="pct"/>
          </w:tcPr>
          <w:p w14:paraId="0A9F9818" w14:textId="77777777" w:rsidR="0023720F" w:rsidRPr="00490DCE" w:rsidRDefault="0023720F">
            <w:pPr>
              <w:pStyle w:val="body"/>
              <w:jc w:val="center"/>
              <w:rPr>
                <w:rFonts w:ascii="Arial" w:hAnsi="Arial" w:cs="Arial"/>
                <w:color w:val="auto"/>
              </w:rPr>
            </w:pPr>
            <w:r w:rsidRPr="00490DCE">
              <w:rPr>
                <w:rFonts w:ascii="Arial" w:hAnsi="Arial" w:cs="Arial"/>
                <w:color w:val="auto"/>
              </w:rPr>
              <w:t>E/c</w:t>
            </w:r>
          </w:p>
        </w:tc>
        <w:tc>
          <w:tcPr>
            <w:tcW w:w="1010" w:type="pct"/>
          </w:tcPr>
          <w:p w14:paraId="279A9A00"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11" w:type="pct"/>
          </w:tcPr>
          <w:p w14:paraId="7112BE33" w14:textId="77777777" w:rsidR="0023720F" w:rsidRPr="00490DCE" w:rsidRDefault="0023720F">
            <w:pPr>
              <w:pStyle w:val="body"/>
              <w:jc w:val="center"/>
              <w:rPr>
                <w:rFonts w:ascii="Arial" w:hAnsi="Arial" w:cs="Arial"/>
                <w:color w:val="auto"/>
              </w:rPr>
            </w:pPr>
            <w:r w:rsidRPr="00490DCE">
              <w:rPr>
                <w:rFonts w:ascii="Arial" w:hAnsi="Arial" w:cs="Arial"/>
                <w:color w:val="auto"/>
              </w:rPr>
              <w:t>..</w:t>
            </w:r>
          </w:p>
        </w:tc>
        <w:tc>
          <w:tcPr>
            <w:tcW w:w="1013" w:type="pct"/>
          </w:tcPr>
          <w:p w14:paraId="7717A050" w14:textId="77777777" w:rsidR="0023720F" w:rsidRPr="00490DCE" w:rsidRDefault="0023720F">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956" w:type="pct"/>
          </w:tcPr>
          <w:p w14:paraId="606E0B95" w14:textId="77777777" w:rsidR="0023720F" w:rsidRPr="00490DCE" w:rsidRDefault="0023720F">
            <w:pPr>
              <w:pStyle w:val="body"/>
              <w:jc w:val="center"/>
              <w:rPr>
                <w:rFonts w:ascii="Arial" w:hAnsi="Arial" w:cs="Arial"/>
                <w:color w:val="auto"/>
              </w:rPr>
            </w:pPr>
            <w:r w:rsidRPr="00490DCE">
              <w:rPr>
                <w:rFonts w:ascii="Arial" w:hAnsi="Arial" w:cs="Arial"/>
                <w:color w:val="auto"/>
              </w:rPr>
              <w:t>Compliant</w:t>
            </w:r>
          </w:p>
        </w:tc>
      </w:tr>
    </w:tbl>
    <w:p w14:paraId="58B9FCF0" w14:textId="77777777" w:rsidR="000A5CFA" w:rsidRPr="00490DCE" w:rsidRDefault="000A5CFA">
      <w:pPr>
        <w:pStyle w:val="tabletitle"/>
        <w:spacing w:before="0"/>
        <w:ind w:left="0" w:firstLine="0"/>
        <w:rPr>
          <w:rFonts w:cs="Arial"/>
        </w:rPr>
      </w:pPr>
    </w:p>
    <w:p w14:paraId="7229681D" w14:textId="77777777" w:rsidR="000A5CFA" w:rsidRPr="00490DCE" w:rsidRDefault="000A5CFA" w:rsidP="00D6546A">
      <w:pPr>
        <w:pStyle w:val="footnote"/>
        <w:rPr>
          <w:rFonts w:cs="Arial"/>
          <w:color w:val="auto"/>
        </w:rPr>
      </w:pPr>
      <w:proofErr w:type="gramStart"/>
      <w:r w:rsidRPr="00490DCE">
        <w:rPr>
          <w:rStyle w:val="super"/>
          <w:rFonts w:cs="Arial"/>
          <w:color w:val="auto"/>
        </w:rPr>
        <w:t>a</w:t>
      </w:r>
      <w:proofErr w:type="gramEnd"/>
      <w:r w:rsidRPr="00490DCE">
        <w:rPr>
          <w:rFonts w:cs="Arial"/>
          <w:color w:val="auto"/>
        </w:rPr>
        <w:t xml:space="preserve"> Three statutory reviews will be collectively assessed in relation to the NBN PIR requirements.</w:t>
      </w:r>
    </w:p>
    <w:p w14:paraId="398C1413" w14:textId="77777777" w:rsidR="000A5CFA" w:rsidRPr="00490DCE" w:rsidRDefault="000A5CFA">
      <w:pPr>
        <w:pStyle w:val="note"/>
        <w:spacing w:after="0"/>
        <w:rPr>
          <w:rFonts w:cs="Arial"/>
          <w:color w:val="auto"/>
          <w:spacing w:val="-2"/>
        </w:rPr>
      </w:pPr>
      <w:proofErr w:type="gramStart"/>
      <w:r w:rsidRPr="00490DCE">
        <w:rPr>
          <w:rStyle w:val="super"/>
          <w:rFonts w:cs="Arial"/>
          <w:color w:val="auto"/>
          <w:spacing w:val="-1"/>
        </w:rPr>
        <w:t>b</w:t>
      </w:r>
      <w:proofErr w:type="gramEnd"/>
      <w:r w:rsidRPr="00490DCE">
        <w:rPr>
          <w:rFonts w:cs="Arial"/>
          <w:color w:val="auto"/>
          <w:spacing w:val="-2"/>
        </w:rPr>
        <w:t xml:space="preserve"> A later PIR start date was agreed with the Department of Broadband, Communications and the Digital Economy</w:t>
      </w:r>
    </w:p>
    <w:p w14:paraId="4DEAFA56" w14:textId="77777777" w:rsidR="000A5CFA" w:rsidRPr="00490DCE" w:rsidRDefault="000A5CFA" w:rsidP="00D6546A">
      <w:pPr>
        <w:pStyle w:val="footnote"/>
        <w:rPr>
          <w:rFonts w:cs="Arial"/>
          <w:color w:val="auto"/>
        </w:rPr>
      </w:pPr>
      <w:r w:rsidRPr="00490DCE">
        <w:rPr>
          <w:rFonts w:cs="Arial"/>
          <w:color w:val="auto"/>
        </w:rPr>
        <w:t>E/c Exceptional circumstances were granted by the Prime Minister</w:t>
      </w:r>
    </w:p>
    <w:p w14:paraId="4A92A27D" w14:textId="77777777" w:rsidR="000A5CFA" w:rsidRPr="00490DCE" w:rsidRDefault="000A5CFA" w:rsidP="00D6546A">
      <w:pPr>
        <w:pStyle w:val="footnote"/>
        <w:rPr>
          <w:rFonts w:cs="Arial"/>
          <w:color w:val="auto"/>
        </w:rPr>
      </w:pPr>
      <w:r w:rsidRPr="00490DCE">
        <w:rPr>
          <w:rFonts w:cs="Arial"/>
          <w:color w:val="auto"/>
        </w:rPr>
        <w:t>.. Not applicable</w:t>
      </w:r>
    </w:p>
    <w:p w14:paraId="767068CD" w14:textId="77777777" w:rsidR="000A5CFA" w:rsidRPr="00490DCE" w:rsidRDefault="000A5CFA">
      <w:pPr>
        <w:pStyle w:val="tabletitle"/>
        <w:spacing w:before="283"/>
        <w:rPr>
          <w:rFonts w:cs="Arial"/>
        </w:rPr>
      </w:pPr>
      <w:r w:rsidRPr="00490DCE">
        <w:rPr>
          <w:rFonts w:cs="Arial"/>
        </w:rPr>
        <w:t>5.1.8 Defence</w:t>
      </w:r>
    </w:p>
    <w:tbl>
      <w:tblPr>
        <w:tblStyle w:val="LightList"/>
        <w:tblW w:w="5000" w:type="pct"/>
        <w:tblLook w:val="0020" w:firstRow="1" w:lastRow="0" w:firstColumn="0" w:lastColumn="0" w:noHBand="0" w:noVBand="0"/>
        <w:tblDescription w:val="Post-implementation Review compliance status by agency - Department of Defence"/>
      </w:tblPr>
      <w:tblGrid>
        <w:gridCol w:w="1969"/>
        <w:gridCol w:w="1969"/>
        <w:gridCol w:w="1970"/>
        <w:gridCol w:w="1970"/>
        <w:gridCol w:w="1970"/>
      </w:tblGrid>
      <w:tr w:rsidR="000A5CFA" w:rsidRPr="00490DCE" w14:paraId="0B569388" w14:textId="77777777" w:rsidTr="001D58BC">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171870B"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5CD98836" w14:textId="77777777" w:rsidTr="001D58BC">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366766A"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D1DA56E" w14:textId="77777777" w:rsidTr="001D58BC">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204B794E"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0A795837"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6C39F644"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06A98911"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30FBF61E"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0E701675" w14:textId="77777777" w:rsidTr="00D6546A">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05604036"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Defence Trade Cooperation Treaty with the United States</w:t>
            </w:r>
          </w:p>
          <w:p w14:paraId="588C0386" w14:textId="77777777" w:rsidR="000A5CFA" w:rsidRPr="00490DCE" w:rsidRDefault="000A5CFA">
            <w:pPr>
              <w:pStyle w:val="body"/>
              <w:rPr>
                <w:rFonts w:ascii="Arial" w:hAnsi="Arial" w:cs="Arial"/>
                <w:color w:val="auto"/>
              </w:rPr>
            </w:pPr>
            <w:r w:rsidRPr="00397586">
              <w:rPr>
                <w:rStyle w:val="italic"/>
                <w:rFonts w:ascii="Arial" w:hAnsi="Arial" w:cs="Arial"/>
                <w:i/>
                <w:color w:val="auto"/>
              </w:rPr>
              <w:t>Removes the administrative delays associated with the existing Australian and US export licensing systems, while ensuring that sensitive defence technology is appropriately protected</w:t>
            </w:r>
            <w:r w:rsidRPr="00490DCE">
              <w:rPr>
                <w:rStyle w:val="italic"/>
                <w:rFonts w:ascii="Arial" w:hAnsi="Arial" w:cs="Arial"/>
                <w:color w:val="auto"/>
              </w:rPr>
              <w:t>.</w:t>
            </w:r>
          </w:p>
        </w:tc>
      </w:tr>
      <w:tr w:rsidR="000A5CFA" w:rsidRPr="00490DCE" w14:paraId="0D3CFF3D" w14:textId="77777777" w:rsidTr="00D6546A">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D1A33C2"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71408E9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2013</w:t>
            </w:r>
          </w:p>
        </w:tc>
        <w:tc>
          <w:tcPr>
            <w:cnfStyle w:val="000010000000" w:firstRow="0" w:lastRow="0" w:firstColumn="0" w:lastColumn="0" w:oddVBand="1" w:evenVBand="0" w:oddHBand="0" w:evenHBand="0" w:firstRowFirstColumn="0" w:firstRowLastColumn="0" w:lastRowFirstColumn="0" w:lastRowLastColumn="0"/>
            <w:tcW w:w="1000" w:type="pct"/>
          </w:tcPr>
          <w:p w14:paraId="54AB0D19" w14:textId="77777777" w:rsidR="000A5CFA" w:rsidRPr="00490DCE" w:rsidRDefault="000A5CFA">
            <w:pPr>
              <w:pStyle w:val="body"/>
              <w:jc w:val="center"/>
              <w:rPr>
                <w:rFonts w:ascii="Arial" w:hAnsi="Arial" w:cs="Arial"/>
                <w:color w:val="auto"/>
              </w:rPr>
            </w:pPr>
            <w:r w:rsidRPr="00490DCE">
              <w:rPr>
                <w:rFonts w:ascii="Arial" w:hAnsi="Arial" w:cs="Arial"/>
                <w:color w:val="auto"/>
              </w:rPr>
              <w:t>June 2015</w:t>
            </w:r>
          </w:p>
        </w:tc>
        <w:tc>
          <w:tcPr>
            <w:tcW w:w="1000" w:type="pct"/>
          </w:tcPr>
          <w:p w14:paraId="4122549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5D1517C0"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78187C82" w14:textId="77777777" w:rsidR="000A5CFA" w:rsidRPr="00490DCE" w:rsidRDefault="000A5CFA">
      <w:pPr>
        <w:pStyle w:val="tabletitle"/>
        <w:spacing w:before="0"/>
        <w:ind w:left="0" w:firstLine="0"/>
        <w:rPr>
          <w:rFonts w:cs="Arial"/>
        </w:rPr>
      </w:pPr>
    </w:p>
    <w:p w14:paraId="5E6D6DA7" w14:textId="77777777" w:rsidR="000A5CFA" w:rsidRPr="00490DCE" w:rsidRDefault="00D6546A">
      <w:pPr>
        <w:pStyle w:val="tabletitle"/>
        <w:spacing w:after="0"/>
        <w:rPr>
          <w:rFonts w:cs="Arial"/>
        </w:rPr>
      </w:pPr>
      <w:r w:rsidRPr="00490DCE">
        <w:rPr>
          <w:rFonts w:cs="Arial"/>
          <w:lang w:val="en-US"/>
        </w:rPr>
        <w:br w:type="page"/>
      </w:r>
      <w:r w:rsidR="000A5CFA" w:rsidRPr="00490DCE">
        <w:rPr>
          <w:rFonts w:cs="Arial"/>
          <w:lang w:val="en-US"/>
        </w:rPr>
        <w:lastRenderedPageBreak/>
        <w:t xml:space="preserve">5.1.9 </w:t>
      </w:r>
      <w:r w:rsidR="000A5CFA" w:rsidRPr="00490DCE">
        <w:rPr>
          <w:rFonts w:cs="Arial"/>
        </w:rPr>
        <w:t>Education, Employment and Workplace Relations</w:t>
      </w:r>
    </w:p>
    <w:tbl>
      <w:tblPr>
        <w:tblStyle w:val="LightList"/>
        <w:tblW w:w="5000" w:type="pct"/>
        <w:tblLook w:val="0020" w:firstRow="1" w:lastRow="0" w:firstColumn="0" w:lastColumn="0" w:noHBand="0" w:noVBand="0"/>
        <w:tblDescription w:val="Post-implementation Review compliance status by agency - Department of Education, Employment and Workplace Relations"/>
      </w:tblPr>
      <w:tblGrid>
        <w:gridCol w:w="1967"/>
        <w:gridCol w:w="1969"/>
        <w:gridCol w:w="1970"/>
        <w:gridCol w:w="1968"/>
        <w:gridCol w:w="6"/>
        <w:gridCol w:w="1968"/>
      </w:tblGrid>
      <w:tr w:rsidR="0033158E" w:rsidRPr="00490DCE" w14:paraId="5687955B"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2C586781" w14:textId="7C4827AD" w:rsidR="0033158E" w:rsidRDefault="0033158E"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33158E" w:rsidRPr="00490DCE" w14:paraId="131F83BB"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6"/>
          </w:tcPr>
          <w:p w14:paraId="1E67E742" w14:textId="7727131A" w:rsidR="0033158E" w:rsidRPr="0033158E" w:rsidRDefault="0033158E" w:rsidP="00807131">
            <w:pPr>
              <w:pStyle w:val="tablehead"/>
              <w:outlineLvl w:val="3"/>
              <w:rPr>
                <w:rFonts w:ascii="Arial" w:hAnsi="Arial" w:cs="Arial"/>
                <w:b w:val="0"/>
                <w:color w:val="auto"/>
              </w:rPr>
            </w:pPr>
            <w:r w:rsidRPr="0033158E">
              <w:rPr>
                <w:rStyle w:val="italic"/>
                <w:rFonts w:ascii="Arial" w:hAnsi="Arial" w:cs="Arial"/>
                <w:b w:val="0"/>
                <w:i/>
                <w:color w:val="auto"/>
              </w:rPr>
              <w:t>Description of regulatory proposal</w:t>
            </w:r>
          </w:p>
        </w:tc>
      </w:tr>
      <w:tr w:rsidR="0033158E" w:rsidRPr="00490DCE" w14:paraId="5946ADB9" w14:textId="77777777" w:rsidTr="00B01AF5">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999" w:type="pct"/>
          </w:tcPr>
          <w:p w14:paraId="76A9460B" w14:textId="0112BCC3" w:rsidR="0033158E" w:rsidRPr="0033158E" w:rsidRDefault="0033158E" w:rsidP="00807131">
            <w:pPr>
              <w:pStyle w:val="tablehead"/>
              <w:outlineLvl w:val="3"/>
              <w:rPr>
                <w:rStyle w:val="bold"/>
                <w:rFonts w:ascii="Arial" w:hAnsi="Arial" w:cs="Arial"/>
                <w:b w:val="0"/>
                <w:bCs w:val="0"/>
                <w:color w:val="auto"/>
              </w:rPr>
            </w:pPr>
            <w:r w:rsidRPr="0033158E">
              <w:rPr>
                <w:rFonts w:ascii="Arial" w:hAnsi="Arial" w:cs="Arial"/>
                <w:b w:val="0"/>
                <w:color w:val="auto"/>
              </w:rPr>
              <w:t>Reason for PIR</w:t>
            </w:r>
          </w:p>
        </w:tc>
        <w:tc>
          <w:tcPr>
            <w:tcW w:w="1000" w:type="pct"/>
          </w:tcPr>
          <w:p w14:paraId="66295715" w14:textId="22A6AF8F" w:rsidR="0033158E" w:rsidRPr="0033158E" w:rsidRDefault="0033158E"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Style w:val="bold"/>
                <w:rFonts w:ascii="Arial" w:hAnsi="Arial" w:cs="Arial"/>
                <w:b w:val="0"/>
                <w:bCs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76F9D6B3" w14:textId="5E5E758B" w:rsidR="0033158E" w:rsidRPr="0033158E" w:rsidRDefault="0033158E" w:rsidP="00807131">
            <w:pPr>
              <w:pStyle w:val="tablehead"/>
              <w:jc w:val="center"/>
              <w:outlineLvl w:val="3"/>
              <w:rPr>
                <w:rStyle w:val="bold"/>
                <w:rFonts w:ascii="Arial" w:hAnsi="Arial" w:cs="Arial"/>
                <w:b w:val="0"/>
                <w:bCs w:val="0"/>
                <w:color w:val="auto"/>
              </w:rPr>
            </w:pPr>
            <w:r w:rsidRPr="0033158E">
              <w:rPr>
                <w:rFonts w:ascii="Arial" w:hAnsi="Arial" w:cs="Arial"/>
                <w:b w:val="0"/>
                <w:color w:val="auto"/>
              </w:rPr>
              <w:t>Date PIR to commence</w:t>
            </w:r>
          </w:p>
        </w:tc>
        <w:tc>
          <w:tcPr>
            <w:tcW w:w="1002" w:type="pct"/>
            <w:gridSpan w:val="2"/>
          </w:tcPr>
          <w:p w14:paraId="4F541304" w14:textId="15644B8A" w:rsidR="0033158E" w:rsidRPr="0033158E" w:rsidRDefault="0033158E"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999" w:type="pct"/>
          </w:tcPr>
          <w:p w14:paraId="27148533" w14:textId="36C2929A" w:rsidR="0033158E" w:rsidRPr="0033158E" w:rsidRDefault="0033158E"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B77182" w:rsidRPr="00490DCE" w14:paraId="740E86CA" w14:textId="77777777" w:rsidTr="00D6546A">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6"/>
          </w:tcPr>
          <w:p w14:paraId="571B72DA" w14:textId="77777777" w:rsidR="00B77182" w:rsidRPr="00484EA1" w:rsidRDefault="00B77182">
            <w:pPr>
              <w:pStyle w:val="body"/>
              <w:rPr>
                <w:rStyle w:val="bold"/>
                <w:rFonts w:ascii="Arial" w:hAnsi="Arial" w:cs="Arial"/>
                <w:b/>
                <w:color w:val="auto"/>
              </w:rPr>
            </w:pPr>
            <w:r w:rsidRPr="00484EA1">
              <w:rPr>
                <w:rStyle w:val="bold"/>
                <w:rFonts w:ascii="Arial" w:hAnsi="Arial" w:cs="Arial"/>
                <w:b/>
                <w:color w:val="auto"/>
              </w:rPr>
              <w:t xml:space="preserve">Australian Government Procurement Statement (DEEWR/Finance) </w:t>
            </w:r>
          </w:p>
          <w:p w14:paraId="5311FC72" w14:textId="77777777" w:rsidR="00B77182" w:rsidRPr="00490DCE" w:rsidRDefault="00B77182">
            <w:pPr>
              <w:pStyle w:val="body"/>
              <w:rPr>
                <w:rFonts w:ascii="Arial" w:hAnsi="Arial" w:cs="Arial"/>
                <w:color w:val="auto"/>
              </w:rPr>
            </w:pPr>
            <w:r w:rsidRPr="00397586">
              <w:rPr>
                <w:rStyle w:val="italic"/>
                <w:rFonts w:ascii="Arial" w:hAnsi="Arial" w:cs="Arial"/>
                <w:i/>
                <w:color w:val="auto"/>
              </w:rPr>
              <w:t>Requires government contractors and suppliers in the textile and clothing industry to be accredited or seek accreditation with the Homeworkers’ Code of Practice</w:t>
            </w:r>
            <w:r w:rsidRPr="00490DCE">
              <w:rPr>
                <w:rStyle w:val="italic"/>
                <w:rFonts w:ascii="Arial" w:hAnsi="Arial" w:cs="Arial"/>
                <w:color w:val="auto"/>
              </w:rPr>
              <w:t>.</w:t>
            </w:r>
          </w:p>
        </w:tc>
      </w:tr>
      <w:tr w:rsidR="00B77182" w:rsidRPr="00490DCE" w14:paraId="27EEC996" w14:textId="77777777" w:rsidTr="00B77182">
        <w:trPr>
          <w:trHeight w:val="535"/>
        </w:trPr>
        <w:tc>
          <w:tcPr>
            <w:cnfStyle w:val="000010000000" w:firstRow="0" w:lastRow="0" w:firstColumn="0" w:lastColumn="0" w:oddVBand="1" w:evenVBand="0" w:oddHBand="0" w:evenHBand="0" w:firstRowFirstColumn="0" w:firstRowLastColumn="0" w:lastRowFirstColumn="0" w:lastRowLastColumn="0"/>
            <w:tcW w:w="999" w:type="pct"/>
          </w:tcPr>
          <w:p w14:paraId="6C55EA5E" w14:textId="77777777" w:rsidR="00B77182" w:rsidRPr="00490DCE" w:rsidRDefault="00B77182">
            <w:pPr>
              <w:pStyle w:val="body"/>
              <w:jc w:val="center"/>
              <w:rPr>
                <w:rFonts w:ascii="Arial" w:hAnsi="Arial" w:cs="Arial"/>
                <w:color w:val="auto"/>
              </w:rPr>
            </w:pPr>
            <w:r w:rsidRPr="00490DCE">
              <w:rPr>
                <w:rFonts w:ascii="Arial" w:hAnsi="Arial" w:cs="Arial"/>
                <w:color w:val="auto"/>
              </w:rPr>
              <w:t>Non-compliant</w:t>
            </w:r>
          </w:p>
        </w:tc>
        <w:tc>
          <w:tcPr>
            <w:tcW w:w="1000" w:type="pct"/>
          </w:tcPr>
          <w:p w14:paraId="370D0312"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2009</w:t>
            </w:r>
          </w:p>
        </w:tc>
        <w:tc>
          <w:tcPr>
            <w:cnfStyle w:val="000010000000" w:firstRow="0" w:lastRow="0" w:firstColumn="0" w:lastColumn="0" w:oddVBand="1" w:evenVBand="0" w:oddHBand="0" w:evenHBand="0" w:firstRowFirstColumn="0" w:firstRowLastColumn="0" w:lastRowFirstColumn="0" w:lastRowLastColumn="0"/>
            <w:tcW w:w="1000" w:type="pct"/>
          </w:tcPr>
          <w:p w14:paraId="093BAB2D" w14:textId="77777777" w:rsidR="00B77182" w:rsidRPr="00490DCE" w:rsidRDefault="00B77182">
            <w:pPr>
              <w:pStyle w:val="body"/>
              <w:jc w:val="center"/>
              <w:rPr>
                <w:rFonts w:ascii="Arial" w:hAnsi="Arial" w:cs="Arial"/>
                <w:color w:val="auto"/>
              </w:rPr>
            </w:pPr>
            <w:r w:rsidRPr="00490DCE">
              <w:rPr>
                <w:rFonts w:ascii="Arial" w:hAnsi="Arial" w:cs="Arial"/>
                <w:color w:val="auto"/>
              </w:rPr>
              <w:t>July 2011</w:t>
            </w:r>
          </w:p>
        </w:tc>
        <w:tc>
          <w:tcPr>
            <w:tcW w:w="999" w:type="pct"/>
          </w:tcPr>
          <w:p w14:paraId="51228476"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Completed Published </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344075AA"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3537DCC8"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0EB83645" w14:textId="2467199C" w:rsidR="00B77182" w:rsidRPr="00484EA1" w:rsidRDefault="00B77182">
            <w:pPr>
              <w:pStyle w:val="body"/>
              <w:rPr>
                <w:rStyle w:val="bold"/>
                <w:rFonts w:ascii="Arial" w:hAnsi="Arial" w:cs="Arial"/>
                <w:b/>
                <w:color w:val="auto"/>
              </w:rPr>
            </w:pPr>
            <w:r w:rsidRPr="00484EA1">
              <w:rPr>
                <w:rStyle w:val="bold"/>
                <w:rFonts w:ascii="Arial" w:hAnsi="Arial" w:cs="Arial"/>
                <w:b/>
                <w:color w:val="auto"/>
              </w:rPr>
              <w:t>Workplace Relations Amendment (Transition to Forward with Fairness) Act 2008 and Fair Work Act 2009</w:t>
            </w:r>
          </w:p>
          <w:p w14:paraId="4C06A013" w14:textId="77777777" w:rsidR="00B77182" w:rsidRPr="00490DCE" w:rsidRDefault="00B77182">
            <w:pPr>
              <w:pStyle w:val="body"/>
              <w:rPr>
                <w:rFonts w:ascii="Arial" w:hAnsi="Arial" w:cs="Arial"/>
                <w:color w:val="auto"/>
              </w:rPr>
            </w:pPr>
            <w:r w:rsidRPr="00397586">
              <w:rPr>
                <w:rStyle w:val="italic"/>
                <w:rFonts w:ascii="Arial" w:hAnsi="Arial" w:cs="Arial"/>
                <w:i/>
                <w:color w:val="auto"/>
              </w:rPr>
              <w:t>Creates a new industrial relations system with a focus on collective bargaining in the workplace</w:t>
            </w:r>
            <w:r w:rsidRPr="00490DCE">
              <w:rPr>
                <w:rStyle w:val="italic"/>
                <w:rFonts w:ascii="Arial" w:hAnsi="Arial" w:cs="Arial"/>
                <w:color w:val="auto"/>
              </w:rPr>
              <w:t>.</w:t>
            </w:r>
          </w:p>
        </w:tc>
      </w:tr>
      <w:tr w:rsidR="00B77182" w:rsidRPr="00490DCE" w14:paraId="67A06547" w14:textId="77777777" w:rsidTr="00B77182">
        <w:trPr>
          <w:trHeight w:val="535"/>
        </w:trPr>
        <w:tc>
          <w:tcPr>
            <w:cnfStyle w:val="000010000000" w:firstRow="0" w:lastRow="0" w:firstColumn="0" w:lastColumn="0" w:oddVBand="1" w:evenVBand="0" w:oddHBand="0" w:evenHBand="0" w:firstRowFirstColumn="0" w:firstRowLastColumn="0" w:lastRowFirstColumn="0" w:lastRowLastColumn="0"/>
            <w:tcW w:w="999" w:type="pct"/>
          </w:tcPr>
          <w:p w14:paraId="3B1DC35E"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7FDCB766"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January 2010</w:t>
            </w:r>
          </w:p>
        </w:tc>
        <w:tc>
          <w:tcPr>
            <w:cnfStyle w:val="000010000000" w:firstRow="0" w:lastRow="0" w:firstColumn="0" w:lastColumn="0" w:oddVBand="1" w:evenVBand="0" w:oddHBand="0" w:evenHBand="0" w:firstRowFirstColumn="0" w:firstRowLastColumn="0" w:lastRowFirstColumn="0" w:lastRowLastColumn="0"/>
            <w:tcW w:w="1000" w:type="pct"/>
          </w:tcPr>
          <w:p w14:paraId="5174C47B" w14:textId="77777777" w:rsidR="00B77182" w:rsidRPr="00490DCE" w:rsidRDefault="00B77182">
            <w:pPr>
              <w:pStyle w:val="body"/>
              <w:jc w:val="center"/>
              <w:rPr>
                <w:rFonts w:ascii="Arial" w:hAnsi="Arial" w:cs="Arial"/>
                <w:color w:val="auto"/>
              </w:rPr>
            </w:pPr>
            <w:r w:rsidRPr="00490DCE">
              <w:rPr>
                <w:rFonts w:ascii="Arial" w:hAnsi="Arial" w:cs="Arial"/>
                <w:color w:val="auto"/>
              </w:rPr>
              <w:t>January 2012</w:t>
            </w:r>
          </w:p>
        </w:tc>
        <w:tc>
          <w:tcPr>
            <w:tcW w:w="999" w:type="pct"/>
          </w:tcPr>
          <w:p w14:paraId="07A2896A"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017E5C1D"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11BC652F"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0F5A3D19" w14:textId="77777777" w:rsidR="00B77182" w:rsidRPr="00484EA1" w:rsidRDefault="00B77182">
            <w:pPr>
              <w:pStyle w:val="body"/>
              <w:rPr>
                <w:rStyle w:val="bold"/>
                <w:rFonts w:ascii="Arial" w:hAnsi="Arial" w:cs="Arial"/>
                <w:b/>
                <w:color w:val="auto"/>
              </w:rPr>
            </w:pPr>
            <w:r w:rsidRPr="00484EA1">
              <w:rPr>
                <w:rStyle w:val="bold"/>
                <w:rFonts w:ascii="Arial" w:hAnsi="Arial" w:cs="Arial"/>
                <w:b/>
                <w:color w:val="auto"/>
              </w:rPr>
              <w:t>Protection for Outworkers in the Textile, Clothing and Footwear Industry</w:t>
            </w:r>
          </w:p>
          <w:p w14:paraId="13E6A108" w14:textId="77777777" w:rsidR="00B77182" w:rsidRPr="00490DCE" w:rsidRDefault="00B77182">
            <w:pPr>
              <w:pStyle w:val="body"/>
              <w:rPr>
                <w:rFonts w:ascii="Arial" w:hAnsi="Arial" w:cs="Arial"/>
                <w:color w:val="auto"/>
              </w:rPr>
            </w:pPr>
            <w:r w:rsidRPr="00397586">
              <w:rPr>
                <w:rStyle w:val="italic"/>
                <w:rFonts w:ascii="Arial" w:hAnsi="Arial" w:cs="Arial"/>
                <w:i/>
                <w:color w:val="auto"/>
              </w:rPr>
              <w:t xml:space="preserve">Extends the operation of most provisions of the Fair Work Act to contract </w:t>
            </w:r>
            <w:proofErr w:type="spellStart"/>
            <w:r w:rsidRPr="00397586">
              <w:rPr>
                <w:rStyle w:val="italic"/>
                <w:rFonts w:ascii="Arial" w:hAnsi="Arial" w:cs="Arial"/>
                <w:i/>
                <w:color w:val="auto"/>
              </w:rPr>
              <w:t>outworkers</w:t>
            </w:r>
            <w:proofErr w:type="spellEnd"/>
            <w:r w:rsidRPr="00397586">
              <w:rPr>
                <w:rStyle w:val="italic"/>
                <w:rFonts w:ascii="Arial" w:hAnsi="Arial" w:cs="Arial"/>
                <w:i/>
                <w:color w:val="auto"/>
              </w:rPr>
              <w:t xml:space="preserve"> in the Textile, Clothing and Footwear industry</w:t>
            </w:r>
            <w:r w:rsidRPr="00490DCE">
              <w:rPr>
                <w:rStyle w:val="italic"/>
                <w:rFonts w:ascii="Arial" w:hAnsi="Arial" w:cs="Arial"/>
                <w:color w:val="auto"/>
              </w:rPr>
              <w:t>.</w:t>
            </w:r>
          </w:p>
        </w:tc>
      </w:tr>
      <w:tr w:rsidR="00B77182" w:rsidRPr="00490DCE" w14:paraId="3BD46086"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0382752C"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3ED5DC32"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2D6D4162" w14:textId="77777777" w:rsidR="00B77182" w:rsidRPr="00490DCE" w:rsidRDefault="00B77182">
            <w:pPr>
              <w:pStyle w:val="body"/>
              <w:jc w:val="center"/>
              <w:rPr>
                <w:rFonts w:ascii="Arial" w:hAnsi="Arial" w:cs="Arial"/>
                <w:color w:val="auto"/>
              </w:rPr>
            </w:pPr>
            <w:r w:rsidRPr="00490DCE">
              <w:rPr>
                <w:rFonts w:ascii="Arial" w:hAnsi="Arial" w:cs="Arial"/>
                <w:color w:val="auto"/>
              </w:rPr>
              <w:t>1 July 2014</w:t>
            </w:r>
          </w:p>
        </w:tc>
        <w:tc>
          <w:tcPr>
            <w:tcW w:w="999" w:type="pct"/>
          </w:tcPr>
          <w:p w14:paraId="53721090"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59F2347C"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2F6E36F0"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5D87C899" w14:textId="77777777" w:rsidR="00B77182" w:rsidRPr="00484EA1" w:rsidRDefault="00B77182">
            <w:pPr>
              <w:pStyle w:val="body"/>
              <w:rPr>
                <w:rStyle w:val="bold"/>
                <w:rFonts w:ascii="Arial" w:hAnsi="Arial" w:cs="Arial"/>
                <w:b/>
                <w:color w:val="auto"/>
              </w:rPr>
            </w:pPr>
            <w:r w:rsidRPr="00484EA1">
              <w:rPr>
                <w:rStyle w:val="bold"/>
                <w:rFonts w:ascii="Arial" w:hAnsi="Arial" w:cs="Arial"/>
                <w:b/>
                <w:color w:val="auto"/>
              </w:rPr>
              <w:t>Amendments to the Transfer of Business Provisions in the Fair Work Act 2009</w:t>
            </w:r>
          </w:p>
          <w:p w14:paraId="3D278035" w14:textId="77777777" w:rsidR="00B77182" w:rsidRPr="00490DCE" w:rsidRDefault="00B77182">
            <w:pPr>
              <w:pStyle w:val="body"/>
              <w:rPr>
                <w:rFonts w:ascii="Arial" w:hAnsi="Arial" w:cs="Arial"/>
                <w:color w:val="auto"/>
              </w:rPr>
            </w:pPr>
            <w:r w:rsidRPr="00397586">
              <w:rPr>
                <w:rStyle w:val="italic"/>
                <w:rFonts w:ascii="Arial" w:hAnsi="Arial" w:cs="Arial"/>
                <w:i/>
                <w:color w:val="auto"/>
              </w:rPr>
              <w:t>Requires business taking over state or territory public sector organisations to remunerate employees the same conditions as their previous employer (Fair Work Amendment (Transfer of Business) Act 2012)</w:t>
            </w:r>
            <w:r w:rsidRPr="00490DCE">
              <w:rPr>
                <w:rStyle w:val="italic"/>
                <w:rFonts w:ascii="Arial" w:hAnsi="Arial" w:cs="Arial"/>
                <w:color w:val="auto"/>
              </w:rPr>
              <w:t>.</w:t>
            </w:r>
          </w:p>
        </w:tc>
      </w:tr>
      <w:tr w:rsidR="00B77182" w:rsidRPr="00490DCE" w14:paraId="394BB3DB"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323E6C2E"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1FC8F622"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5 December 2012</w:t>
            </w:r>
          </w:p>
        </w:tc>
        <w:tc>
          <w:tcPr>
            <w:cnfStyle w:val="000010000000" w:firstRow="0" w:lastRow="0" w:firstColumn="0" w:lastColumn="0" w:oddVBand="1" w:evenVBand="0" w:oddHBand="0" w:evenHBand="0" w:firstRowFirstColumn="0" w:firstRowLastColumn="0" w:lastRowFirstColumn="0" w:lastRowLastColumn="0"/>
            <w:tcW w:w="1000" w:type="pct"/>
          </w:tcPr>
          <w:p w14:paraId="7B972C85" w14:textId="77777777" w:rsidR="00B77182" w:rsidRPr="00490DCE" w:rsidRDefault="00B77182">
            <w:pPr>
              <w:pStyle w:val="body"/>
              <w:jc w:val="center"/>
              <w:rPr>
                <w:rFonts w:ascii="Arial" w:hAnsi="Arial" w:cs="Arial"/>
                <w:color w:val="auto"/>
              </w:rPr>
            </w:pPr>
            <w:r w:rsidRPr="00490DCE">
              <w:rPr>
                <w:rFonts w:ascii="Arial" w:hAnsi="Arial" w:cs="Arial"/>
                <w:color w:val="auto"/>
              </w:rPr>
              <w:t>December 2014</w:t>
            </w:r>
          </w:p>
        </w:tc>
        <w:tc>
          <w:tcPr>
            <w:tcW w:w="999" w:type="pct"/>
          </w:tcPr>
          <w:p w14:paraId="7193F707"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5478CC8A"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1A2F6274"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283FBDB7" w14:textId="77777777" w:rsidR="00B77182" w:rsidRPr="00484EA1" w:rsidRDefault="00B77182">
            <w:pPr>
              <w:pStyle w:val="body"/>
              <w:rPr>
                <w:rStyle w:val="super"/>
                <w:rFonts w:cs="Arial"/>
                <w:b/>
                <w:color w:val="auto"/>
              </w:rPr>
            </w:pPr>
            <w:r w:rsidRPr="00484EA1">
              <w:rPr>
                <w:rStyle w:val="bold"/>
                <w:rFonts w:ascii="Arial" w:hAnsi="Arial" w:cs="Arial"/>
                <w:b/>
                <w:color w:val="auto"/>
              </w:rPr>
              <w:t>Amendments to the Fair Work Act 2009</w:t>
            </w:r>
            <w:r w:rsidRPr="00484EA1">
              <w:rPr>
                <w:rStyle w:val="super"/>
                <w:rFonts w:cs="Arial"/>
                <w:b/>
                <w:color w:val="auto"/>
              </w:rPr>
              <w:t>a</w:t>
            </w:r>
          </w:p>
          <w:p w14:paraId="305DD133" w14:textId="77777777" w:rsidR="00B77182" w:rsidRPr="00490DCE" w:rsidRDefault="00B77182">
            <w:pPr>
              <w:pStyle w:val="body"/>
              <w:rPr>
                <w:rFonts w:ascii="Arial" w:hAnsi="Arial" w:cs="Arial"/>
                <w:color w:val="auto"/>
              </w:rPr>
            </w:pPr>
            <w:r w:rsidRPr="00397586">
              <w:rPr>
                <w:rStyle w:val="italic"/>
                <w:rFonts w:ascii="Arial" w:hAnsi="Arial" w:cs="Arial"/>
                <w:i/>
                <w:color w:val="auto"/>
              </w:rPr>
              <w:t>Expands the scope of who can request flexible working arrangements</w:t>
            </w:r>
            <w:r w:rsidRPr="00490DCE">
              <w:rPr>
                <w:rStyle w:val="italic"/>
                <w:rFonts w:ascii="Arial" w:hAnsi="Arial" w:cs="Arial"/>
                <w:color w:val="auto"/>
              </w:rPr>
              <w:t>.</w:t>
            </w:r>
          </w:p>
        </w:tc>
      </w:tr>
      <w:tr w:rsidR="00B77182" w:rsidRPr="00490DCE" w14:paraId="3AE1921F"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26E0B636"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15BB06B1"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42FC7C4F" w14:textId="77777777" w:rsidR="00B77182" w:rsidRPr="00490DCE" w:rsidRDefault="00B77182">
            <w:pPr>
              <w:pStyle w:val="body"/>
              <w:jc w:val="center"/>
              <w:rPr>
                <w:rFonts w:ascii="Arial" w:hAnsi="Arial" w:cs="Arial"/>
                <w:color w:val="auto"/>
              </w:rPr>
            </w:pPr>
            <w:r w:rsidRPr="00490DCE">
              <w:rPr>
                <w:rFonts w:ascii="Arial" w:hAnsi="Arial" w:cs="Arial"/>
                <w:color w:val="auto"/>
              </w:rPr>
              <w:t>1 July 2015</w:t>
            </w:r>
          </w:p>
        </w:tc>
        <w:tc>
          <w:tcPr>
            <w:tcW w:w="999" w:type="pct"/>
          </w:tcPr>
          <w:p w14:paraId="6B39AB87"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1E76492A"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393A327E" w14:textId="77777777" w:rsidTr="00D6546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6"/>
          </w:tcPr>
          <w:p w14:paraId="7AAF7C23" w14:textId="77777777" w:rsidR="00B77182" w:rsidRPr="00490DCE" w:rsidRDefault="00B77182">
            <w:pPr>
              <w:pStyle w:val="body"/>
              <w:rPr>
                <w:rFonts w:ascii="Arial" w:hAnsi="Arial" w:cs="Arial"/>
                <w:color w:val="auto"/>
              </w:rPr>
            </w:pPr>
            <w:r w:rsidRPr="00397586">
              <w:rPr>
                <w:rStyle w:val="italic"/>
                <w:rFonts w:ascii="Arial" w:hAnsi="Arial" w:cs="Arial"/>
                <w:i/>
                <w:color w:val="auto"/>
              </w:rPr>
              <w:t>Requires employers to consult on roster changes and consider the impacts on families</w:t>
            </w:r>
            <w:r w:rsidRPr="00490DCE">
              <w:rPr>
                <w:rStyle w:val="italic"/>
                <w:rFonts w:ascii="Arial" w:hAnsi="Arial" w:cs="Arial"/>
                <w:color w:val="auto"/>
              </w:rPr>
              <w:t>.</w:t>
            </w:r>
          </w:p>
        </w:tc>
      </w:tr>
      <w:tr w:rsidR="00B77182" w:rsidRPr="00490DCE" w14:paraId="5B79997D"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08AFD548"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5C95E5E6"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January 2014</w:t>
            </w:r>
          </w:p>
        </w:tc>
        <w:tc>
          <w:tcPr>
            <w:cnfStyle w:val="000010000000" w:firstRow="0" w:lastRow="0" w:firstColumn="0" w:lastColumn="0" w:oddVBand="1" w:evenVBand="0" w:oddHBand="0" w:evenHBand="0" w:firstRowFirstColumn="0" w:firstRowLastColumn="0" w:lastRowFirstColumn="0" w:lastRowLastColumn="0"/>
            <w:tcW w:w="1000" w:type="pct"/>
          </w:tcPr>
          <w:p w14:paraId="7DA191FA" w14:textId="77777777" w:rsidR="00B77182" w:rsidRPr="00490DCE" w:rsidRDefault="00B77182">
            <w:pPr>
              <w:pStyle w:val="body"/>
              <w:jc w:val="center"/>
              <w:rPr>
                <w:rFonts w:ascii="Arial" w:hAnsi="Arial" w:cs="Arial"/>
                <w:color w:val="auto"/>
              </w:rPr>
            </w:pPr>
            <w:r w:rsidRPr="00490DCE">
              <w:rPr>
                <w:rFonts w:ascii="Arial" w:hAnsi="Arial" w:cs="Arial"/>
                <w:color w:val="auto"/>
              </w:rPr>
              <w:t>1 January 2016</w:t>
            </w:r>
          </w:p>
        </w:tc>
        <w:tc>
          <w:tcPr>
            <w:tcW w:w="999" w:type="pct"/>
          </w:tcPr>
          <w:p w14:paraId="3A6A1377"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12798896"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66F8D574" w14:textId="77777777" w:rsidTr="00D6546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6"/>
          </w:tcPr>
          <w:p w14:paraId="630236AF" w14:textId="77777777" w:rsidR="00B77182" w:rsidRPr="00490DCE" w:rsidRDefault="00B77182">
            <w:pPr>
              <w:pStyle w:val="body"/>
              <w:rPr>
                <w:rFonts w:ascii="Arial" w:hAnsi="Arial" w:cs="Arial"/>
                <w:color w:val="auto"/>
              </w:rPr>
            </w:pPr>
            <w:r w:rsidRPr="00397586">
              <w:rPr>
                <w:rStyle w:val="italic"/>
                <w:rFonts w:ascii="Arial" w:hAnsi="Arial" w:cs="Arial"/>
                <w:i/>
                <w:color w:val="auto"/>
              </w:rPr>
              <w:t>Ensures employees would not lose unpaid parental leave when taking special maternity leave</w:t>
            </w:r>
            <w:r w:rsidRPr="00490DCE">
              <w:rPr>
                <w:rStyle w:val="italic"/>
                <w:rFonts w:ascii="Arial" w:hAnsi="Arial" w:cs="Arial"/>
                <w:color w:val="auto"/>
              </w:rPr>
              <w:t>.</w:t>
            </w:r>
          </w:p>
        </w:tc>
      </w:tr>
      <w:tr w:rsidR="00B77182" w:rsidRPr="00490DCE" w14:paraId="25309030"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7321A2F9"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6C761082"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0864345B" w14:textId="77777777" w:rsidR="00B77182" w:rsidRPr="00490DCE" w:rsidRDefault="00B77182">
            <w:pPr>
              <w:pStyle w:val="body"/>
              <w:jc w:val="center"/>
              <w:rPr>
                <w:rFonts w:ascii="Arial" w:hAnsi="Arial" w:cs="Arial"/>
                <w:color w:val="auto"/>
              </w:rPr>
            </w:pPr>
            <w:r w:rsidRPr="00490DCE">
              <w:rPr>
                <w:rFonts w:ascii="Arial" w:hAnsi="Arial" w:cs="Arial"/>
                <w:color w:val="auto"/>
              </w:rPr>
              <w:t>1 July 2015</w:t>
            </w:r>
          </w:p>
        </w:tc>
        <w:tc>
          <w:tcPr>
            <w:tcW w:w="999" w:type="pct"/>
          </w:tcPr>
          <w:p w14:paraId="0739348B"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38A175CA"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67F6EA06" w14:textId="77777777" w:rsidTr="00D6546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6"/>
          </w:tcPr>
          <w:p w14:paraId="5318580E" w14:textId="77777777" w:rsidR="00B77182" w:rsidRPr="00490DCE" w:rsidRDefault="00B77182">
            <w:pPr>
              <w:pStyle w:val="body"/>
              <w:rPr>
                <w:rFonts w:ascii="Arial" w:hAnsi="Arial" w:cs="Arial"/>
                <w:color w:val="auto"/>
              </w:rPr>
            </w:pPr>
            <w:r w:rsidRPr="00397586">
              <w:rPr>
                <w:rStyle w:val="italic"/>
                <w:rFonts w:ascii="Arial" w:hAnsi="Arial" w:cs="Arial"/>
                <w:i/>
                <w:color w:val="auto"/>
              </w:rPr>
              <w:t>Provides pregnant employees with less than 12 months service the right to transfer to a safe job</w:t>
            </w:r>
            <w:r w:rsidRPr="00490DCE">
              <w:rPr>
                <w:rStyle w:val="italic"/>
                <w:rFonts w:ascii="Arial" w:hAnsi="Arial" w:cs="Arial"/>
                <w:color w:val="auto"/>
              </w:rPr>
              <w:t>.</w:t>
            </w:r>
          </w:p>
        </w:tc>
      </w:tr>
      <w:tr w:rsidR="00B77182" w:rsidRPr="00490DCE" w14:paraId="15F8878A"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067CD953"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7EAA0344"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5B4C37CB" w14:textId="77777777" w:rsidR="00B77182" w:rsidRPr="00490DCE" w:rsidRDefault="00B77182">
            <w:pPr>
              <w:pStyle w:val="body"/>
              <w:jc w:val="center"/>
              <w:rPr>
                <w:rFonts w:ascii="Arial" w:hAnsi="Arial" w:cs="Arial"/>
                <w:color w:val="auto"/>
              </w:rPr>
            </w:pPr>
            <w:r w:rsidRPr="00490DCE">
              <w:rPr>
                <w:rFonts w:ascii="Arial" w:hAnsi="Arial" w:cs="Arial"/>
                <w:color w:val="auto"/>
              </w:rPr>
              <w:t>1 July 2015</w:t>
            </w:r>
          </w:p>
        </w:tc>
        <w:tc>
          <w:tcPr>
            <w:tcW w:w="999" w:type="pct"/>
          </w:tcPr>
          <w:p w14:paraId="16055CC3"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66C45B89"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6196B5E6" w14:textId="77777777" w:rsidTr="00D6546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6"/>
          </w:tcPr>
          <w:p w14:paraId="7A747AC4" w14:textId="77777777" w:rsidR="00B77182" w:rsidRPr="00490DCE" w:rsidRDefault="00B77182">
            <w:pPr>
              <w:pStyle w:val="body"/>
              <w:rPr>
                <w:rFonts w:ascii="Arial" w:hAnsi="Arial" w:cs="Arial"/>
                <w:color w:val="auto"/>
              </w:rPr>
            </w:pPr>
            <w:r w:rsidRPr="00397586">
              <w:rPr>
                <w:rStyle w:val="italic"/>
                <w:rFonts w:ascii="Arial" w:hAnsi="Arial" w:cs="Arial"/>
                <w:i/>
                <w:color w:val="auto"/>
                <w:spacing w:val="-2"/>
              </w:rPr>
              <w:t>Increases the maximum period of concurrent unpaid parental leave from four to eight weeks</w:t>
            </w:r>
            <w:r w:rsidRPr="00490DCE">
              <w:rPr>
                <w:rStyle w:val="italic"/>
                <w:rFonts w:ascii="Arial" w:hAnsi="Arial" w:cs="Arial"/>
                <w:color w:val="auto"/>
                <w:spacing w:val="-2"/>
              </w:rPr>
              <w:t>.</w:t>
            </w:r>
          </w:p>
        </w:tc>
      </w:tr>
      <w:tr w:rsidR="00B77182" w:rsidRPr="00490DCE" w14:paraId="44D931DF"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6DCD2CC4"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733B50D6"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459928D6" w14:textId="77777777" w:rsidR="00B77182" w:rsidRPr="00490DCE" w:rsidRDefault="00B77182">
            <w:pPr>
              <w:pStyle w:val="body"/>
              <w:jc w:val="center"/>
              <w:rPr>
                <w:rFonts w:ascii="Arial" w:hAnsi="Arial" w:cs="Arial"/>
                <w:color w:val="auto"/>
              </w:rPr>
            </w:pPr>
            <w:r w:rsidRPr="00490DCE">
              <w:rPr>
                <w:rFonts w:ascii="Arial" w:hAnsi="Arial" w:cs="Arial"/>
                <w:color w:val="auto"/>
              </w:rPr>
              <w:t>1 July 2015</w:t>
            </w:r>
          </w:p>
        </w:tc>
        <w:tc>
          <w:tcPr>
            <w:tcW w:w="999" w:type="pct"/>
          </w:tcPr>
          <w:p w14:paraId="1FC086C4"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37FECBB2"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50EAFCCE"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5B5B196B" w14:textId="77777777" w:rsidR="00B77182" w:rsidRPr="00490DCE" w:rsidRDefault="00B77182">
            <w:pPr>
              <w:pStyle w:val="body"/>
              <w:rPr>
                <w:rFonts w:ascii="Arial" w:hAnsi="Arial" w:cs="Arial"/>
                <w:color w:val="auto"/>
              </w:rPr>
            </w:pPr>
            <w:r w:rsidRPr="00397586">
              <w:rPr>
                <w:rStyle w:val="italic"/>
                <w:rFonts w:ascii="Arial" w:hAnsi="Arial" w:cs="Arial"/>
                <w:i/>
                <w:color w:val="auto"/>
              </w:rPr>
              <w:t>Creates a definition of workplace bullying and allowing an employee who has suffered bullying at work the right to seek an order from the Fair Work Commission</w:t>
            </w:r>
            <w:r w:rsidRPr="00490DCE">
              <w:rPr>
                <w:rStyle w:val="italic"/>
                <w:rFonts w:ascii="Arial" w:hAnsi="Arial" w:cs="Arial"/>
                <w:color w:val="auto"/>
              </w:rPr>
              <w:t>.</w:t>
            </w:r>
          </w:p>
        </w:tc>
      </w:tr>
      <w:tr w:rsidR="00B77182" w:rsidRPr="00490DCE" w14:paraId="68D35FA2"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61F149FE"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00B08957"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January 2014</w:t>
            </w:r>
          </w:p>
        </w:tc>
        <w:tc>
          <w:tcPr>
            <w:cnfStyle w:val="000010000000" w:firstRow="0" w:lastRow="0" w:firstColumn="0" w:lastColumn="0" w:oddVBand="1" w:evenVBand="0" w:oddHBand="0" w:evenHBand="0" w:firstRowFirstColumn="0" w:firstRowLastColumn="0" w:lastRowFirstColumn="0" w:lastRowLastColumn="0"/>
            <w:tcW w:w="1000" w:type="pct"/>
          </w:tcPr>
          <w:p w14:paraId="0F918FF2" w14:textId="77777777" w:rsidR="00B77182" w:rsidRPr="00490DCE" w:rsidRDefault="00B77182">
            <w:pPr>
              <w:pStyle w:val="body"/>
              <w:jc w:val="center"/>
              <w:rPr>
                <w:rFonts w:ascii="Arial" w:hAnsi="Arial" w:cs="Arial"/>
                <w:color w:val="auto"/>
              </w:rPr>
            </w:pPr>
            <w:r w:rsidRPr="00490DCE">
              <w:rPr>
                <w:rFonts w:ascii="Arial" w:hAnsi="Arial" w:cs="Arial"/>
                <w:color w:val="auto"/>
              </w:rPr>
              <w:t>1 January 2016</w:t>
            </w:r>
          </w:p>
        </w:tc>
        <w:tc>
          <w:tcPr>
            <w:tcW w:w="999" w:type="pct"/>
          </w:tcPr>
          <w:p w14:paraId="5E4BF960"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23AAC1A3"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36E40A51"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1008A664" w14:textId="77777777" w:rsidR="00B77182" w:rsidRPr="00490DCE" w:rsidRDefault="00B77182">
            <w:pPr>
              <w:pStyle w:val="body"/>
              <w:rPr>
                <w:rFonts w:ascii="Arial" w:hAnsi="Arial" w:cs="Arial"/>
                <w:color w:val="auto"/>
              </w:rPr>
            </w:pPr>
            <w:r w:rsidRPr="00397586">
              <w:rPr>
                <w:rStyle w:val="italic"/>
                <w:rFonts w:ascii="Arial" w:hAnsi="Arial" w:cs="Arial"/>
                <w:i/>
                <w:color w:val="auto"/>
              </w:rPr>
              <w:t>Amends right of entry provisions in relation to the location of discussions and interviews, as well as transport and accommodation arrangements for the facilitation of entry to premises in remote areas by permit holders</w:t>
            </w:r>
            <w:r w:rsidRPr="00490DCE">
              <w:rPr>
                <w:rStyle w:val="italic"/>
                <w:rFonts w:ascii="Arial" w:hAnsi="Arial" w:cs="Arial"/>
                <w:color w:val="auto"/>
              </w:rPr>
              <w:t>.</w:t>
            </w:r>
          </w:p>
        </w:tc>
      </w:tr>
      <w:tr w:rsidR="00B77182" w:rsidRPr="00490DCE" w14:paraId="14DD8B3C"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656CA3E9"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13D8FD5C"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January 2014</w:t>
            </w:r>
          </w:p>
        </w:tc>
        <w:tc>
          <w:tcPr>
            <w:cnfStyle w:val="000010000000" w:firstRow="0" w:lastRow="0" w:firstColumn="0" w:lastColumn="0" w:oddVBand="1" w:evenVBand="0" w:oddHBand="0" w:evenHBand="0" w:firstRowFirstColumn="0" w:firstRowLastColumn="0" w:lastRowFirstColumn="0" w:lastRowLastColumn="0"/>
            <w:tcW w:w="1000" w:type="pct"/>
          </w:tcPr>
          <w:p w14:paraId="067C727D" w14:textId="77777777" w:rsidR="00B77182" w:rsidRPr="00490DCE" w:rsidRDefault="00B77182">
            <w:pPr>
              <w:pStyle w:val="body"/>
              <w:jc w:val="center"/>
              <w:rPr>
                <w:rFonts w:ascii="Arial" w:hAnsi="Arial" w:cs="Arial"/>
                <w:color w:val="auto"/>
              </w:rPr>
            </w:pPr>
            <w:r w:rsidRPr="00490DCE">
              <w:rPr>
                <w:rFonts w:ascii="Arial" w:hAnsi="Arial" w:cs="Arial"/>
                <w:color w:val="auto"/>
              </w:rPr>
              <w:t>1 January 2016</w:t>
            </w:r>
          </w:p>
        </w:tc>
        <w:tc>
          <w:tcPr>
            <w:tcW w:w="999" w:type="pct"/>
          </w:tcPr>
          <w:p w14:paraId="6F40E47F"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278ADA18"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5311851B" w14:textId="77777777" w:rsidTr="00D6546A">
        <w:trPr>
          <w:cnfStyle w:val="000000100000" w:firstRow="0" w:lastRow="0" w:firstColumn="0" w:lastColumn="0" w:oddVBand="0" w:evenVBand="0" w:oddHBand="1" w:evenHBand="0" w:firstRowFirstColumn="0" w:firstRowLastColumn="0" w:lastRowFirstColumn="0" w:lastRowLastColumn="0"/>
          <w:trHeight w:val="535"/>
        </w:trPr>
        <w:tc>
          <w:tcPr>
            <w:cnfStyle w:val="000010000000" w:firstRow="0" w:lastRow="0" w:firstColumn="0" w:lastColumn="0" w:oddVBand="1" w:evenVBand="0" w:oddHBand="0" w:evenHBand="0" w:firstRowFirstColumn="0" w:firstRowLastColumn="0" w:lastRowFirstColumn="0" w:lastRowLastColumn="0"/>
            <w:tcW w:w="5000" w:type="pct"/>
            <w:gridSpan w:val="6"/>
          </w:tcPr>
          <w:p w14:paraId="12333F56" w14:textId="6A3AF86E" w:rsidR="00B77182" w:rsidRPr="00490DCE" w:rsidRDefault="00B77182" w:rsidP="00484EA1">
            <w:pPr>
              <w:pStyle w:val="body"/>
              <w:rPr>
                <w:rFonts w:ascii="Arial" w:hAnsi="Arial" w:cs="Arial"/>
                <w:color w:val="auto"/>
              </w:rPr>
            </w:pPr>
            <w:r w:rsidRPr="00484EA1">
              <w:rPr>
                <w:rStyle w:val="italic"/>
                <w:rFonts w:ascii="Arial" w:hAnsi="Arial" w:cs="Arial"/>
                <w:i/>
                <w:color w:val="auto"/>
              </w:rPr>
              <w:t>Requires the Fair Work Commission to take into account the need to provide additional remuneration for employees working overtime; unsocial, irregular or unpredictable hours; working on weekends or public holidays; or working shifts when making or varying a modern award</w:t>
            </w:r>
            <w:r w:rsidRPr="00490DCE">
              <w:rPr>
                <w:rStyle w:val="italic"/>
                <w:rFonts w:ascii="Arial" w:hAnsi="Arial" w:cs="Arial"/>
                <w:color w:val="auto"/>
              </w:rPr>
              <w:t>.</w:t>
            </w:r>
          </w:p>
        </w:tc>
      </w:tr>
      <w:tr w:rsidR="00B77182" w:rsidRPr="00490DCE" w14:paraId="6C5782B0"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622C45DB" w14:textId="77777777" w:rsidR="00B77182" w:rsidRPr="00490DCE" w:rsidRDefault="00B77182">
            <w:pPr>
              <w:pStyle w:val="body"/>
              <w:jc w:val="center"/>
              <w:rPr>
                <w:rFonts w:ascii="Arial" w:hAnsi="Arial" w:cs="Arial"/>
                <w:color w:val="auto"/>
              </w:rPr>
            </w:pPr>
            <w:r w:rsidRPr="00490DCE">
              <w:rPr>
                <w:rFonts w:ascii="Arial" w:hAnsi="Arial" w:cs="Arial"/>
                <w:color w:val="auto"/>
              </w:rPr>
              <w:t>E/c</w:t>
            </w:r>
          </w:p>
        </w:tc>
        <w:tc>
          <w:tcPr>
            <w:tcW w:w="1000" w:type="pct"/>
          </w:tcPr>
          <w:p w14:paraId="5780D5B9"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January 2014</w:t>
            </w:r>
          </w:p>
        </w:tc>
        <w:tc>
          <w:tcPr>
            <w:cnfStyle w:val="000010000000" w:firstRow="0" w:lastRow="0" w:firstColumn="0" w:lastColumn="0" w:oddVBand="1" w:evenVBand="0" w:oddHBand="0" w:evenHBand="0" w:firstRowFirstColumn="0" w:firstRowLastColumn="0" w:lastRowFirstColumn="0" w:lastRowLastColumn="0"/>
            <w:tcW w:w="1000" w:type="pct"/>
          </w:tcPr>
          <w:p w14:paraId="0493FB05" w14:textId="77777777" w:rsidR="00B77182" w:rsidRPr="00490DCE" w:rsidRDefault="00B77182">
            <w:pPr>
              <w:pStyle w:val="body"/>
              <w:jc w:val="center"/>
              <w:rPr>
                <w:rFonts w:ascii="Arial" w:hAnsi="Arial" w:cs="Arial"/>
                <w:color w:val="auto"/>
              </w:rPr>
            </w:pPr>
            <w:r w:rsidRPr="00490DCE">
              <w:rPr>
                <w:rFonts w:ascii="Arial" w:hAnsi="Arial" w:cs="Arial"/>
                <w:color w:val="auto"/>
              </w:rPr>
              <w:t>1 January 2016</w:t>
            </w:r>
          </w:p>
        </w:tc>
        <w:tc>
          <w:tcPr>
            <w:tcW w:w="999" w:type="pct"/>
          </w:tcPr>
          <w:p w14:paraId="3C119601"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09B47E22"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r w:rsidR="00B77182" w:rsidRPr="00490DCE" w14:paraId="7ADC0269" w14:textId="77777777" w:rsidTr="00D6546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6"/>
          </w:tcPr>
          <w:p w14:paraId="743D9DCF" w14:textId="77777777" w:rsidR="00B77182" w:rsidRPr="00484EA1" w:rsidRDefault="00B77182">
            <w:pPr>
              <w:pStyle w:val="body"/>
              <w:rPr>
                <w:rFonts w:ascii="Arial" w:hAnsi="Arial" w:cs="Arial"/>
                <w:i/>
                <w:color w:val="auto"/>
              </w:rPr>
            </w:pPr>
            <w:r w:rsidRPr="00484EA1">
              <w:rPr>
                <w:rStyle w:val="italic"/>
                <w:rFonts w:ascii="Arial" w:hAnsi="Arial" w:cs="Arial"/>
                <w:i/>
                <w:color w:val="auto"/>
              </w:rPr>
              <w:t xml:space="preserve">Amendments to bargaining for </w:t>
            </w:r>
            <w:proofErr w:type="spellStart"/>
            <w:r w:rsidRPr="00484EA1">
              <w:rPr>
                <w:rStyle w:val="italic"/>
                <w:rFonts w:ascii="Arial" w:hAnsi="Arial" w:cs="Arial"/>
                <w:i/>
                <w:color w:val="auto"/>
              </w:rPr>
              <w:t>greenfields</w:t>
            </w:r>
            <w:proofErr w:type="spellEnd"/>
            <w:r w:rsidRPr="00484EA1">
              <w:rPr>
                <w:rStyle w:val="italic"/>
                <w:rFonts w:ascii="Arial" w:hAnsi="Arial" w:cs="Arial"/>
                <w:i/>
                <w:color w:val="auto"/>
              </w:rPr>
              <w:t xml:space="preserve"> agreements.</w:t>
            </w:r>
          </w:p>
        </w:tc>
      </w:tr>
      <w:tr w:rsidR="00B77182" w:rsidRPr="00490DCE" w14:paraId="689621DD" w14:textId="77777777" w:rsidTr="00B77182">
        <w:trPr>
          <w:trHeight w:val="315"/>
        </w:trPr>
        <w:tc>
          <w:tcPr>
            <w:cnfStyle w:val="000010000000" w:firstRow="0" w:lastRow="0" w:firstColumn="0" w:lastColumn="0" w:oddVBand="1" w:evenVBand="0" w:oddHBand="0" w:evenHBand="0" w:firstRowFirstColumn="0" w:firstRowLastColumn="0" w:lastRowFirstColumn="0" w:lastRowLastColumn="0"/>
            <w:tcW w:w="999" w:type="pct"/>
          </w:tcPr>
          <w:p w14:paraId="65556BDB" w14:textId="77777777" w:rsidR="00B77182" w:rsidRPr="00490DCE" w:rsidRDefault="00B77182">
            <w:pPr>
              <w:pStyle w:val="body"/>
              <w:jc w:val="center"/>
              <w:rPr>
                <w:rFonts w:ascii="Arial" w:hAnsi="Arial" w:cs="Arial"/>
                <w:color w:val="auto"/>
              </w:rPr>
            </w:pPr>
            <w:r w:rsidRPr="00490DCE">
              <w:rPr>
                <w:rFonts w:ascii="Arial" w:hAnsi="Arial" w:cs="Arial"/>
                <w:color w:val="auto"/>
              </w:rPr>
              <w:lastRenderedPageBreak/>
              <w:t>E/c</w:t>
            </w:r>
          </w:p>
        </w:tc>
        <w:tc>
          <w:tcPr>
            <w:tcW w:w="1000" w:type="pct"/>
          </w:tcPr>
          <w:p w14:paraId="19179830"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393624EE" w14:textId="77777777" w:rsidR="00B77182" w:rsidRPr="00490DCE" w:rsidRDefault="00B77182">
            <w:pPr>
              <w:pStyle w:val="body"/>
              <w:jc w:val="center"/>
              <w:rPr>
                <w:rFonts w:ascii="Arial" w:hAnsi="Arial" w:cs="Arial"/>
                <w:color w:val="auto"/>
              </w:rPr>
            </w:pPr>
            <w:r w:rsidRPr="00490DCE">
              <w:rPr>
                <w:rFonts w:ascii="Arial" w:hAnsi="Arial" w:cs="Arial"/>
                <w:color w:val="auto"/>
              </w:rPr>
              <w:t>..</w:t>
            </w:r>
          </w:p>
        </w:tc>
        <w:tc>
          <w:tcPr>
            <w:tcW w:w="999" w:type="pct"/>
          </w:tcPr>
          <w:p w14:paraId="6D33A0D7" w14:textId="77777777" w:rsidR="00B77182" w:rsidRPr="00490DCE" w:rsidRDefault="00B7718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2" w:type="pct"/>
            <w:gridSpan w:val="2"/>
          </w:tcPr>
          <w:p w14:paraId="70AE44E6" w14:textId="77777777" w:rsidR="00B77182" w:rsidRPr="00490DCE" w:rsidRDefault="00B77182">
            <w:pPr>
              <w:pStyle w:val="body"/>
              <w:jc w:val="center"/>
              <w:rPr>
                <w:rFonts w:ascii="Arial" w:hAnsi="Arial" w:cs="Arial"/>
                <w:color w:val="auto"/>
              </w:rPr>
            </w:pPr>
            <w:r w:rsidRPr="00490DCE">
              <w:rPr>
                <w:rFonts w:ascii="Arial" w:hAnsi="Arial" w:cs="Arial"/>
                <w:color w:val="auto"/>
              </w:rPr>
              <w:t>Compliant</w:t>
            </w:r>
          </w:p>
        </w:tc>
      </w:tr>
    </w:tbl>
    <w:p w14:paraId="629E144B" w14:textId="77777777" w:rsidR="000A5CFA" w:rsidRPr="00490DCE" w:rsidRDefault="000A5CFA">
      <w:pPr>
        <w:pStyle w:val="tabletitle"/>
        <w:spacing w:before="57"/>
        <w:ind w:left="0" w:firstLine="0"/>
        <w:rPr>
          <w:rFonts w:cs="Arial"/>
        </w:rPr>
      </w:pPr>
    </w:p>
    <w:p w14:paraId="657D687F" w14:textId="77777777" w:rsidR="000A5CFA" w:rsidRPr="00490DCE" w:rsidRDefault="000A5CFA" w:rsidP="00D6546A">
      <w:pPr>
        <w:pStyle w:val="foot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These measures relate to two decisions to amend the </w:t>
      </w:r>
      <w:r w:rsidRPr="00490DCE">
        <w:rPr>
          <w:rStyle w:val="italic"/>
          <w:rFonts w:cs="Arial"/>
          <w:color w:val="auto"/>
          <w:sz w:val="16"/>
        </w:rPr>
        <w:t>Fair Work Act 2009</w:t>
      </w:r>
      <w:r w:rsidRPr="00490DCE">
        <w:rPr>
          <w:rFonts w:cs="Arial"/>
          <w:color w:val="auto"/>
        </w:rPr>
        <w:t xml:space="preserve"> announced in 2012–13.</w:t>
      </w:r>
      <w:r w:rsidRPr="00490DCE">
        <w:rPr>
          <w:rFonts w:cs="Arial"/>
          <w:color w:val="auto"/>
        </w:rPr>
        <w:br/>
        <w:t>E/c Exceptional circumstances were granted by the Prime Minister</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171EB584" w14:textId="77777777" w:rsidR="000A5CFA" w:rsidRPr="00490DCE" w:rsidRDefault="000A5CFA">
      <w:pPr>
        <w:pStyle w:val="tabletitle"/>
        <w:spacing w:before="454"/>
        <w:rPr>
          <w:rFonts w:cs="Arial"/>
        </w:rPr>
      </w:pPr>
      <w:r w:rsidRPr="00490DCE">
        <w:rPr>
          <w:rFonts w:cs="Arial"/>
        </w:rPr>
        <w:t>5.1.10 Families, Housing, Community Services and Indigenous Affairs</w:t>
      </w:r>
    </w:p>
    <w:tbl>
      <w:tblPr>
        <w:tblStyle w:val="LightList"/>
        <w:tblW w:w="5000" w:type="pct"/>
        <w:tblLook w:val="0020" w:firstRow="1" w:lastRow="0" w:firstColumn="0" w:lastColumn="0" w:noHBand="0" w:noVBand="0"/>
        <w:tblDescription w:val="Post-implementation Review compliance status by agency - Department of Families, Housing, Community Services and Indigenous Affairs"/>
      </w:tblPr>
      <w:tblGrid>
        <w:gridCol w:w="1969"/>
        <w:gridCol w:w="1969"/>
        <w:gridCol w:w="1970"/>
        <w:gridCol w:w="1970"/>
        <w:gridCol w:w="1970"/>
      </w:tblGrid>
      <w:tr w:rsidR="000A5CFA" w:rsidRPr="00490DCE" w14:paraId="2A474754"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0265994"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FC2389F"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B881CB6"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2AE2DB53"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5903290A"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694A5972"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64564B12"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5D8AD784"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327AC4F6"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11D9D0A7" w14:textId="77777777" w:rsidTr="001E6EF4">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5C04BD57"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Problem Gambling</w:t>
            </w:r>
          </w:p>
          <w:p w14:paraId="3CE0A9AB" w14:textId="77777777" w:rsidR="000A5CFA" w:rsidRPr="00490DCE" w:rsidRDefault="000A5CFA">
            <w:pPr>
              <w:pStyle w:val="body"/>
              <w:rPr>
                <w:rFonts w:ascii="Arial" w:hAnsi="Arial" w:cs="Arial"/>
                <w:color w:val="auto"/>
              </w:rPr>
            </w:pPr>
            <w:r w:rsidRPr="00484EA1">
              <w:rPr>
                <w:rStyle w:val="italic"/>
                <w:rFonts w:ascii="Arial" w:hAnsi="Arial" w:cs="Arial"/>
                <w:i/>
                <w:color w:val="auto"/>
              </w:rPr>
              <w:t>New gaming machines capable of supporting pre-commitment</w:t>
            </w:r>
            <w:r w:rsidRPr="00490DCE">
              <w:rPr>
                <w:rStyle w:val="italic"/>
                <w:rFonts w:ascii="Arial" w:hAnsi="Arial" w:cs="Arial"/>
                <w:color w:val="auto"/>
              </w:rPr>
              <w:t>.</w:t>
            </w:r>
          </w:p>
        </w:tc>
      </w:tr>
      <w:tr w:rsidR="000A5CFA" w:rsidRPr="00490DCE" w14:paraId="7F2CF12B"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C264DBD"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48138E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December 2014*</w:t>
            </w:r>
          </w:p>
        </w:tc>
        <w:tc>
          <w:tcPr>
            <w:cnfStyle w:val="000010000000" w:firstRow="0" w:lastRow="0" w:firstColumn="0" w:lastColumn="0" w:oddVBand="1" w:evenVBand="0" w:oddHBand="0" w:evenHBand="0" w:firstRowFirstColumn="0" w:firstRowLastColumn="0" w:lastRowFirstColumn="0" w:lastRowLastColumn="0"/>
            <w:tcW w:w="1000" w:type="pct"/>
          </w:tcPr>
          <w:p w14:paraId="3C70EFD4" w14:textId="77777777" w:rsidR="000A5CFA" w:rsidRPr="00490DCE" w:rsidRDefault="000A5CFA">
            <w:pPr>
              <w:pStyle w:val="body"/>
              <w:jc w:val="center"/>
              <w:rPr>
                <w:rFonts w:ascii="Arial" w:hAnsi="Arial" w:cs="Arial"/>
                <w:color w:val="auto"/>
              </w:rPr>
            </w:pPr>
            <w:r w:rsidRPr="00490DCE">
              <w:rPr>
                <w:rFonts w:ascii="Arial" w:hAnsi="Arial" w:cs="Arial"/>
                <w:color w:val="auto"/>
              </w:rPr>
              <w:t>December 2016*</w:t>
            </w:r>
          </w:p>
        </w:tc>
        <w:tc>
          <w:tcPr>
            <w:tcW w:w="1000" w:type="pct"/>
          </w:tcPr>
          <w:p w14:paraId="53AD5FC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3D40EF66"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2D329FA4"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A2D0C02" w14:textId="77777777" w:rsidR="000A5CFA" w:rsidRPr="00484EA1" w:rsidRDefault="000A5CFA">
            <w:pPr>
              <w:pStyle w:val="body"/>
              <w:rPr>
                <w:rFonts w:ascii="Arial" w:hAnsi="Arial" w:cs="Arial"/>
                <w:i/>
                <w:color w:val="auto"/>
              </w:rPr>
            </w:pPr>
            <w:r w:rsidRPr="00484EA1">
              <w:rPr>
                <w:rStyle w:val="italic"/>
                <w:rFonts w:ascii="Arial" w:hAnsi="Arial" w:cs="Arial"/>
                <w:i/>
                <w:color w:val="auto"/>
              </w:rPr>
              <w:t>Introduce a $250 daily withdrawal limit from ATMs in gaming venues (excluding casinos).</w:t>
            </w:r>
          </w:p>
        </w:tc>
      </w:tr>
      <w:tr w:rsidR="000A5CFA" w:rsidRPr="00490DCE" w14:paraId="434C8122"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A23143F"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7ECC7B2A"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February 2014*</w:t>
            </w:r>
          </w:p>
        </w:tc>
        <w:tc>
          <w:tcPr>
            <w:cnfStyle w:val="000010000000" w:firstRow="0" w:lastRow="0" w:firstColumn="0" w:lastColumn="0" w:oddVBand="1" w:evenVBand="0" w:oddHBand="0" w:evenHBand="0" w:firstRowFirstColumn="0" w:firstRowLastColumn="0" w:lastRowFirstColumn="0" w:lastRowLastColumn="0"/>
            <w:tcW w:w="1000" w:type="pct"/>
          </w:tcPr>
          <w:p w14:paraId="059E0900" w14:textId="77777777" w:rsidR="000A5CFA" w:rsidRPr="00490DCE" w:rsidRDefault="000A5CFA">
            <w:pPr>
              <w:pStyle w:val="body"/>
              <w:jc w:val="center"/>
              <w:rPr>
                <w:rFonts w:ascii="Arial" w:hAnsi="Arial" w:cs="Arial"/>
                <w:color w:val="auto"/>
              </w:rPr>
            </w:pPr>
            <w:r w:rsidRPr="00490DCE">
              <w:rPr>
                <w:rFonts w:ascii="Arial" w:hAnsi="Arial" w:cs="Arial"/>
                <w:color w:val="auto"/>
              </w:rPr>
              <w:t>February 2016*</w:t>
            </w:r>
          </w:p>
        </w:tc>
        <w:tc>
          <w:tcPr>
            <w:tcW w:w="1000" w:type="pct"/>
          </w:tcPr>
          <w:p w14:paraId="1ACBF98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1E30702F"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2ADF0778"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902C8D2" w14:textId="77777777" w:rsidR="000A5CFA" w:rsidRPr="00490DCE" w:rsidRDefault="000A5CFA">
            <w:pPr>
              <w:pStyle w:val="body"/>
              <w:rPr>
                <w:rFonts w:ascii="Arial" w:hAnsi="Arial" w:cs="Arial"/>
                <w:color w:val="auto"/>
              </w:rPr>
            </w:pPr>
            <w:r w:rsidRPr="00484EA1">
              <w:rPr>
                <w:rStyle w:val="italic"/>
                <w:rFonts w:ascii="Arial" w:hAnsi="Arial" w:cs="Arial"/>
                <w:i/>
                <w:color w:val="auto"/>
                <w:spacing w:val="-2"/>
              </w:rPr>
              <w:t>Gaming machines to have a state linked pre-commitment system</w:t>
            </w:r>
            <w:r w:rsidRPr="00490DCE">
              <w:rPr>
                <w:rStyle w:val="italic"/>
                <w:rFonts w:ascii="Arial" w:hAnsi="Arial" w:cs="Arial"/>
                <w:color w:val="auto"/>
                <w:spacing w:val="-2"/>
              </w:rPr>
              <w:t>.</w:t>
            </w:r>
          </w:p>
        </w:tc>
      </w:tr>
      <w:tr w:rsidR="000A5CFA" w:rsidRPr="00490DCE" w14:paraId="5A66E0F6"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92E3EA4"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0E25EE5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December 2018*</w:t>
            </w:r>
          </w:p>
        </w:tc>
        <w:tc>
          <w:tcPr>
            <w:cnfStyle w:val="000010000000" w:firstRow="0" w:lastRow="0" w:firstColumn="0" w:lastColumn="0" w:oddVBand="1" w:evenVBand="0" w:oddHBand="0" w:evenHBand="0" w:firstRowFirstColumn="0" w:firstRowLastColumn="0" w:lastRowFirstColumn="0" w:lastRowLastColumn="0"/>
            <w:tcW w:w="1000" w:type="pct"/>
          </w:tcPr>
          <w:p w14:paraId="6034AA56" w14:textId="77777777" w:rsidR="000A5CFA" w:rsidRPr="00490DCE" w:rsidRDefault="000A5CFA">
            <w:pPr>
              <w:pStyle w:val="body"/>
              <w:jc w:val="center"/>
              <w:rPr>
                <w:rFonts w:ascii="Arial" w:hAnsi="Arial" w:cs="Arial"/>
                <w:color w:val="auto"/>
              </w:rPr>
            </w:pPr>
            <w:r w:rsidRPr="00490DCE">
              <w:rPr>
                <w:rFonts w:ascii="Arial" w:hAnsi="Arial" w:cs="Arial"/>
                <w:color w:val="auto"/>
              </w:rPr>
              <w:t>December 2020*^</w:t>
            </w:r>
          </w:p>
        </w:tc>
        <w:tc>
          <w:tcPr>
            <w:tcW w:w="1000" w:type="pct"/>
          </w:tcPr>
          <w:p w14:paraId="5F778A52"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080246E8"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6C62B330"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7D11D6D" w14:textId="77777777" w:rsidR="000A5CFA" w:rsidRPr="00490DCE" w:rsidRDefault="000A5CFA">
            <w:pPr>
              <w:pStyle w:val="body"/>
              <w:rPr>
                <w:rFonts w:ascii="Arial" w:hAnsi="Arial" w:cs="Arial"/>
                <w:color w:val="auto"/>
              </w:rPr>
            </w:pPr>
            <w:r w:rsidRPr="00484EA1">
              <w:rPr>
                <w:rStyle w:val="italic"/>
                <w:rFonts w:ascii="Arial" w:hAnsi="Arial" w:cs="Arial"/>
                <w:i/>
                <w:color w:val="auto"/>
              </w:rPr>
              <w:t>Electronic warnings and cost of play displays on gaming machines</w:t>
            </w:r>
            <w:r w:rsidRPr="00490DCE">
              <w:rPr>
                <w:rStyle w:val="italic"/>
                <w:rFonts w:ascii="Arial" w:hAnsi="Arial" w:cs="Arial"/>
                <w:color w:val="auto"/>
              </w:rPr>
              <w:t>.</w:t>
            </w:r>
          </w:p>
        </w:tc>
      </w:tr>
      <w:tr w:rsidR="000A5CFA" w:rsidRPr="00490DCE" w14:paraId="3E653406"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1813B6A"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75D1187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December 2018* </w:t>
            </w:r>
          </w:p>
        </w:tc>
        <w:tc>
          <w:tcPr>
            <w:cnfStyle w:val="000010000000" w:firstRow="0" w:lastRow="0" w:firstColumn="0" w:lastColumn="0" w:oddVBand="1" w:evenVBand="0" w:oddHBand="0" w:evenHBand="0" w:firstRowFirstColumn="0" w:firstRowLastColumn="0" w:lastRowFirstColumn="0" w:lastRowLastColumn="0"/>
            <w:tcW w:w="1000" w:type="pct"/>
          </w:tcPr>
          <w:p w14:paraId="71A46797" w14:textId="77777777" w:rsidR="000A5CFA" w:rsidRPr="00490DCE" w:rsidRDefault="000A5CFA">
            <w:pPr>
              <w:pStyle w:val="body"/>
              <w:jc w:val="center"/>
              <w:rPr>
                <w:rFonts w:ascii="Arial" w:hAnsi="Arial" w:cs="Arial"/>
                <w:color w:val="auto"/>
              </w:rPr>
            </w:pPr>
            <w:r w:rsidRPr="00490DCE">
              <w:rPr>
                <w:rFonts w:ascii="Arial" w:hAnsi="Arial" w:cs="Arial"/>
                <w:color w:val="auto"/>
              </w:rPr>
              <w:t>December 2020*^</w:t>
            </w:r>
          </w:p>
        </w:tc>
        <w:tc>
          <w:tcPr>
            <w:tcW w:w="1000" w:type="pct"/>
          </w:tcPr>
          <w:p w14:paraId="4B270E7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3462690F"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4B89A046" w14:textId="77777777" w:rsidR="000A5CFA" w:rsidRPr="00490DCE" w:rsidRDefault="000A5CFA">
      <w:pPr>
        <w:pStyle w:val="tabletitle"/>
        <w:spacing w:before="0"/>
        <w:ind w:left="0" w:firstLine="0"/>
        <w:rPr>
          <w:rFonts w:cs="Arial"/>
          <w:sz w:val="16"/>
          <w:szCs w:val="16"/>
          <w:lang w:val="en-AU"/>
        </w:rPr>
      </w:pPr>
    </w:p>
    <w:p w14:paraId="79D66BF4" w14:textId="77777777" w:rsidR="000A5CFA" w:rsidRPr="00490DCE" w:rsidRDefault="000A5CFA" w:rsidP="001E6EF4">
      <w:pPr>
        <w:pStyle w:val="footnote"/>
        <w:rPr>
          <w:rFonts w:cs="Arial"/>
          <w:color w:val="auto"/>
        </w:rPr>
      </w:pPr>
      <w:r w:rsidRPr="00490DCE">
        <w:rPr>
          <w:rFonts w:cs="Arial"/>
          <w:color w:val="auto"/>
        </w:rPr>
        <w:t>* The implementation dates reflect timing in the applicable legislation currently in force. This legislation was</w:t>
      </w:r>
      <w:r w:rsidRPr="00490DCE">
        <w:rPr>
          <w:rFonts w:cs="Arial"/>
          <w:color w:val="auto"/>
        </w:rPr>
        <w:br/>
        <w:t>enacted in December 2012.</w:t>
      </w:r>
    </w:p>
    <w:p w14:paraId="31F85745" w14:textId="77777777" w:rsidR="000A5CFA" w:rsidRPr="00490DCE" w:rsidRDefault="000A5CFA" w:rsidP="001E6EF4">
      <w:pPr>
        <w:pStyle w:val="footnote"/>
        <w:rPr>
          <w:rFonts w:cs="Arial"/>
          <w:color w:val="auto"/>
        </w:rPr>
      </w:pPr>
      <w:r w:rsidRPr="00490DCE">
        <w:rPr>
          <w:rFonts w:cs="Arial"/>
          <w:color w:val="auto"/>
        </w:rPr>
        <w:t>^ PIR completion date may depend on the available data after the initial implementation phase in December 2018.</w:t>
      </w:r>
    </w:p>
    <w:p w14:paraId="6EAED2BF" w14:textId="77777777" w:rsidR="00125CF2" w:rsidRDefault="00125CF2">
      <w:pPr>
        <w:suppressAutoHyphens w:val="0"/>
        <w:spacing w:after="0"/>
        <w:rPr>
          <w:rFonts w:cs="Arial"/>
          <w:b/>
          <w:sz w:val="20"/>
          <w:lang w:val="en-GB"/>
        </w:rPr>
      </w:pPr>
      <w:r>
        <w:rPr>
          <w:rFonts w:cs="Arial"/>
        </w:rPr>
        <w:br w:type="page"/>
      </w:r>
    </w:p>
    <w:p w14:paraId="1F38ADA3" w14:textId="7B545E33" w:rsidR="000A5CFA" w:rsidRPr="00490DCE" w:rsidRDefault="000A5CFA">
      <w:pPr>
        <w:pStyle w:val="tabletitle"/>
        <w:rPr>
          <w:rFonts w:cs="Arial"/>
        </w:rPr>
      </w:pPr>
      <w:r w:rsidRPr="00490DCE">
        <w:rPr>
          <w:rFonts w:cs="Arial"/>
        </w:rPr>
        <w:lastRenderedPageBreak/>
        <w:t>5.1.11 Health and Ageing</w:t>
      </w:r>
    </w:p>
    <w:tbl>
      <w:tblPr>
        <w:tblStyle w:val="LightList"/>
        <w:tblW w:w="5000" w:type="pct"/>
        <w:tblLook w:val="0020" w:firstRow="1" w:lastRow="0" w:firstColumn="0" w:lastColumn="0" w:noHBand="0" w:noVBand="0"/>
        <w:tblDescription w:val="Post-implementation Review compliance status by agency - Department of Health and Ageing"/>
      </w:tblPr>
      <w:tblGrid>
        <w:gridCol w:w="1969"/>
        <w:gridCol w:w="1969"/>
        <w:gridCol w:w="1970"/>
        <w:gridCol w:w="1970"/>
        <w:gridCol w:w="1970"/>
      </w:tblGrid>
      <w:tr w:rsidR="000A5CFA" w:rsidRPr="00490DCE" w14:paraId="6AEFD233"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5C6A0933"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2E93E08"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D5FE538"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2133AE84"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38FD8496"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70D43380"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17C89A82"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05DC1B03"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6804F4E4"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62268EC1" w14:textId="77777777" w:rsidTr="001E6EF4">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56BAAFB4"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Australian Inventory of Chemical Substances Restriction on the use of Certain Lead Compounds</w:t>
            </w:r>
          </w:p>
          <w:p w14:paraId="52F37D9B" w14:textId="77777777" w:rsidR="000A5CFA" w:rsidRPr="00490DCE" w:rsidRDefault="000A5CFA">
            <w:pPr>
              <w:pStyle w:val="body"/>
              <w:rPr>
                <w:rFonts w:ascii="Arial" w:hAnsi="Arial" w:cs="Arial"/>
                <w:color w:val="auto"/>
              </w:rPr>
            </w:pPr>
            <w:r w:rsidRPr="00484EA1">
              <w:rPr>
                <w:rStyle w:val="italic"/>
                <w:rFonts w:ascii="Arial" w:hAnsi="Arial" w:cs="Arial"/>
                <w:i/>
                <w:color w:val="auto"/>
              </w:rPr>
              <w:t>Restriction on the use of certain lead compounds in industrial surface coatings and inks</w:t>
            </w:r>
            <w:r w:rsidRPr="00490DCE">
              <w:rPr>
                <w:rStyle w:val="italic"/>
                <w:rFonts w:ascii="Arial" w:hAnsi="Arial" w:cs="Arial"/>
                <w:color w:val="auto"/>
              </w:rPr>
              <w:t>.</w:t>
            </w:r>
          </w:p>
        </w:tc>
      </w:tr>
      <w:tr w:rsidR="000A5CFA" w:rsidRPr="00490DCE" w14:paraId="500E8541"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C3F6E15"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286F120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January 2009</w:t>
            </w:r>
          </w:p>
        </w:tc>
        <w:tc>
          <w:tcPr>
            <w:cnfStyle w:val="000010000000" w:firstRow="0" w:lastRow="0" w:firstColumn="0" w:lastColumn="0" w:oddVBand="1" w:evenVBand="0" w:oddHBand="0" w:evenHBand="0" w:firstRowFirstColumn="0" w:firstRowLastColumn="0" w:lastRowFirstColumn="0" w:lastRowLastColumn="0"/>
            <w:tcW w:w="1000" w:type="pct"/>
          </w:tcPr>
          <w:p w14:paraId="4812FCFE" w14:textId="77777777" w:rsidR="000A5CFA" w:rsidRPr="00490DCE" w:rsidRDefault="000A5CFA">
            <w:pPr>
              <w:pStyle w:val="body"/>
              <w:jc w:val="center"/>
              <w:rPr>
                <w:rFonts w:ascii="Arial" w:hAnsi="Arial" w:cs="Arial"/>
                <w:color w:val="auto"/>
              </w:rPr>
            </w:pPr>
            <w:r w:rsidRPr="00490DCE">
              <w:rPr>
                <w:rFonts w:ascii="Arial" w:hAnsi="Arial" w:cs="Arial"/>
                <w:color w:val="auto"/>
              </w:rPr>
              <w:t>January 2011</w:t>
            </w:r>
          </w:p>
        </w:tc>
        <w:tc>
          <w:tcPr>
            <w:tcW w:w="1000" w:type="pct"/>
          </w:tcPr>
          <w:p w14:paraId="1B80787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1" w:type="pct"/>
          </w:tcPr>
          <w:p w14:paraId="2A992433"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131EB3F4"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81AE873"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Fifth Community Pharmacy Agreement</w:t>
            </w:r>
          </w:p>
          <w:p w14:paraId="1B547BD1" w14:textId="77777777" w:rsidR="000A5CFA" w:rsidRPr="00490DCE" w:rsidRDefault="000A5CFA">
            <w:pPr>
              <w:pStyle w:val="body"/>
              <w:rPr>
                <w:rFonts w:ascii="Arial" w:hAnsi="Arial" w:cs="Arial"/>
                <w:color w:val="auto"/>
              </w:rPr>
            </w:pPr>
            <w:r w:rsidRPr="00484EA1">
              <w:rPr>
                <w:rStyle w:val="italic"/>
                <w:rFonts w:ascii="Arial" w:hAnsi="Arial" w:cs="Arial"/>
                <w:i/>
                <w:color w:val="auto"/>
                <w:spacing w:val="-2"/>
              </w:rPr>
              <w:t>Retention of pharmacy location rules</w:t>
            </w:r>
            <w:r w:rsidRPr="00490DCE">
              <w:rPr>
                <w:rStyle w:val="italic"/>
                <w:rFonts w:ascii="Arial" w:hAnsi="Arial" w:cs="Arial"/>
                <w:color w:val="auto"/>
                <w:spacing w:val="-2"/>
              </w:rPr>
              <w:t>.</w:t>
            </w:r>
          </w:p>
        </w:tc>
      </w:tr>
      <w:tr w:rsidR="000A5CFA" w:rsidRPr="00490DCE" w14:paraId="676CD560"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BEA65DE"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0A52C16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2010</w:t>
            </w:r>
          </w:p>
        </w:tc>
        <w:tc>
          <w:tcPr>
            <w:cnfStyle w:val="000010000000" w:firstRow="0" w:lastRow="0" w:firstColumn="0" w:lastColumn="0" w:oddVBand="1" w:evenVBand="0" w:oddHBand="0" w:evenHBand="0" w:firstRowFirstColumn="0" w:firstRowLastColumn="0" w:lastRowFirstColumn="0" w:lastRowLastColumn="0"/>
            <w:tcW w:w="1000" w:type="pct"/>
          </w:tcPr>
          <w:p w14:paraId="23D25866" w14:textId="77777777" w:rsidR="000A5CFA" w:rsidRPr="00490DCE" w:rsidRDefault="000A5CFA">
            <w:pPr>
              <w:pStyle w:val="body"/>
              <w:jc w:val="center"/>
              <w:rPr>
                <w:rFonts w:ascii="Arial" w:hAnsi="Arial" w:cs="Arial"/>
                <w:color w:val="auto"/>
              </w:rPr>
            </w:pPr>
            <w:r w:rsidRPr="00490DCE">
              <w:rPr>
                <w:rFonts w:ascii="Arial" w:hAnsi="Arial" w:cs="Arial"/>
                <w:color w:val="auto"/>
              </w:rPr>
              <w:t>July 2012</w:t>
            </w:r>
          </w:p>
        </w:tc>
        <w:tc>
          <w:tcPr>
            <w:tcW w:w="1000" w:type="pct"/>
          </w:tcPr>
          <w:p w14:paraId="5795FB9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1" w:type="pct"/>
          </w:tcPr>
          <w:p w14:paraId="2FE10AEC"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r>
      <w:tr w:rsidR="000A5CFA" w:rsidRPr="00490DCE" w14:paraId="64BFC81D"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542B551"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Fairer Private Health Insurance Incentives Bill 2009</w:t>
            </w:r>
          </w:p>
          <w:p w14:paraId="7B32BE69" w14:textId="77777777" w:rsidR="000A5CFA" w:rsidRPr="00490DCE" w:rsidRDefault="000A5CFA">
            <w:pPr>
              <w:pStyle w:val="body"/>
              <w:rPr>
                <w:rFonts w:ascii="Arial" w:hAnsi="Arial" w:cs="Arial"/>
                <w:color w:val="auto"/>
              </w:rPr>
            </w:pPr>
            <w:r w:rsidRPr="00484EA1">
              <w:rPr>
                <w:rStyle w:val="italic"/>
                <w:rFonts w:ascii="Arial" w:hAnsi="Arial" w:cs="Arial"/>
                <w:i/>
                <w:color w:val="auto"/>
              </w:rPr>
              <w:t>Introduces three new private health insurance incentive tiers</w:t>
            </w:r>
            <w:r w:rsidRPr="00490DCE">
              <w:rPr>
                <w:rStyle w:val="italic"/>
                <w:rFonts w:ascii="Arial" w:hAnsi="Arial" w:cs="Arial"/>
                <w:color w:val="auto"/>
              </w:rPr>
              <w:t>.</w:t>
            </w:r>
          </w:p>
        </w:tc>
      </w:tr>
      <w:tr w:rsidR="000A5CFA" w:rsidRPr="00490DCE" w14:paraId="28396898"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C6CF80C"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6B74B35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7710AEF3" w14:textId="77777777" w:rsidR="000A5CFA" w:rsidRPr="00490DCE" w:rsidRDefault="000A5CFA">
            <w:pPr>
              <w:pStyle w:val="body"/>
              <w:jc w:val="center"/>
              <w:rPr>
                <w:rFonts w:ascii="Arial" w:hAnsi="Arial" w:cs="Arial"/>
                <w:color w:val="auto"/>
              </w:rPr>
            </w:pPr>
            <w:r w:rsidRPr="00490DCE">
              <w:rPr>
                <w:rFonts w:ascii="Arial" w:hAnsi="Arial" w:cs="Arial"/>
                <w:color w:val="auto"/>
              </w:rPr>
              <w:t>July 2014</w:t>
            </w:r>
          </w:p>
        </w:tc>
        <w:tc>
          <w:tcPr>
            <w:tcW w:w="1000" w:type="pct"/>
          </w:tcPr>
          <w:p w14:paraId="56148FD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6DDF3D23"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40DBAD04"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D6E52E1"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Tobacco Plain Packaging</w:t>
            </w:r>
          </w:p>
          <w:p w14:paraId="4C6E5C67" w14:textId="77777777" w:rsidR="000A5CFA" w:rsidRPr="00490DCE" w:rsidRDefault="000A5CFA">
            <w:pPr>
              <w:pStyle w:val="body"/>
              <w:rPr>
                <w:rFonts w:ascii="Arial" w:hAnsi="Arial" w:cs="Arial"/>
                <w:color w:val="auto"/>
              </w:rPr>
            </w:pPr>
            <w:r w:rsidRPr="00484EA1">
              <w:rPr>
                <w:rStyle w:val="italic"/>
                <w:rFonts w:ascii="Arial" w:hAnsi="Arial" w:cs="Arial"/>
                <w:i/>
                <w:color w:val="auto"/>
              </w:rPr>
              <w:t>Requires plain packaging for tobacco products</w:t>
            </w:r>
            <w:r w:rsidRPr="00490DCE">
              <w:rPr>
                <w:rStyle w:val="italic"/>
                <w:rFonts w:ascii="Arial" w:hAnsi="Arial" w:cs="Arial"/>
                <w:color w:val="auto"/>
              </w:rPr>
              <w:t>.</w:t>
            </w:r>
          </w:p>
        </w:tc>
      </w:tr>
      <w:tr w:rsidR="000A5CFA" w:rsidRPr="00490DCE" w14:paraId="64ECCAB3"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68944E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B2417B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December 2012</w:t>
            </w:r>
          </w:p>
        </w:tc>
        <w:tc>
          <w:tcPr>
            <w:cnfStyle w:val="000010000000" w:firstRow="0" w:lastRow="0" w:firstColumn="0" w:lastColumn="0" w:oddVBand="1" w:evenVBand="0" w:oddHBand="0" w:evenHBand="0" w:firstRowFirstColumn="0" w:firstRowLastColumn="0" w:lastRowFirstColumn="0" w:lastRowLastColumn="0"/>
            <w:tcW w:w="1000" w:type="pct"/>
          </w:tcPr>
          <w:p w14:paraId="52AEDF96" w14:textId="77777777" w:rsidR="000A5CFA" w:rsidRPr="00490DCE" w:rsidRDefault="000A5CFA">
            <w:pPr>
              <w:pStyle w:val="body"/>
              <w:jc w:val="center"/>
              <w:rPr>
                <w:rFonts w:ascii="Arial" w:hAnsi="Arial" w:cs="Arial"/>
                <w:color w:val="auto"/>
              </w:rPr>
            </w:pPr>
            <w:r w:rsidRPr="00490DCE">
              <w:rPr>
                <w:rFonts w:ascii="Arial" w:hAnsi="Arial" w:cs="Arial"/>
                <w:color w:val="auto"/>
              </w:rPr>
              <w:t>December 2014</w:t>
            </w:r>
          </w:p>
        </w:tc>
        <w:tc>
          <w:tcPr>
            <w:tcW w:w="1000" w:type="pct"/>
          </w:tcPr>
          <w:p w14:paraId="19C44CF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1ACA7B66"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51E929AE"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B291C47"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Eligibility for Medicare Funding for Diagnostic Radiology Services</w:t>
            </w:r>
          </w:p>
          <w:p w14:paraId="232EB52C" w14:textId="77777777" w:rsidR="000A5CFA" w:rsidRPr="00490DCE" w:rsidRDefault="000A5CFA">
            <w:pPr>
              <w:pStyle w:val="body"/>
              <w:rPr>
                <w:rFonts w:ascii="Arial" w:hAnsi="Arial" w:cs="Arial"/>
                <w:color w:val="auto"/>
              </w:rPr>
            </w:pPr>
            <w:r w:rsidRPr="00484EA1">
              <w:rPr>
                <w:rStyle w:val="italic"/>
                <w:rFonts w:ascii="Arial" w:hAnsi="Arial" w:cs="Arial"/>
                <w:i/>
                <w:color w:val="auto"/>
              </w:rPr>
              <w:t>Limits the conduct of Medicare-eligible diagnostic radiology procedures (excluding mammography) to medical practitioners, qualified dental practitioners and radiographers</w:t>
            </w:r>
            <w:r w:rsidRPr="00490DCE">
              <w:rPr>
                <w:rStyle w:val="italic"/>
                <w:rFonts w:ascii="Arial" w:hAnsi="Arial" w:cs="Arial"/>
                <w:color w:val="auto"/>
              </w:rPr>
              <w:t>.</w:t>
            </w:r>
          </w:p>
        </w:tc>
      </w:tr>
      <w:tr w:rsidR="000A5CFA" w:rsidRPr="00490DCE" w14:paraId="0BEC2C37"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8F0EA19"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4D51C4E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November 2012</w:t>
            </w:r>
          </w:p>
        </w:tc>
        <w:tc>
          <w:tcPr>
            <w:cnfStyle w:val="000010000000" w:firstRow="0" w:lastRow="0" w:firstColumn="0" w:lastColumn="0" w:oddVBand="1" w:evenVBand="0" w:oddHBand="0" w:evenHBand="0" w:firstRowFirstColumn="0" w:firstRowLastColumn="0" w:lastRowFirstColumn="0" w:lastRowLastColumn="0"/>
            <w:tcW w:w="1000" w:type="pct"/>
          </w:tcPr>
          <w:p w14:paraId="54FAD90F" w14:textId="77777777" w:rsidR="000A5CFA" w:rsidRPr="00490DCE" w:rsidRDefault="000A5CFA">
            <w:pPr>
              <w:pStyle w:val="body"/>
              <w:jc w:val="center"/>
              <w:rPr>
                <w:rFonts w:ascii="Arial" w:hAnsi="Arial" w:cs="Arial"/>
                <w:color w:val="auto"/>
              </w:rPr>
            </w:pPr>
            <w:r w:rsidRPr="00490DCE">
              <w:rPr>
                <w:rFonts w:ascii="Arial" w:hAnsi="Arial" w:cs="Arial"/>
                <w:color w:val="auto"/>
              </w:rPr>
              <w:t>November 2014</w:t>
            </w:r>
          </w:p>
        </w:tc>
        <w:tc>
          <w:tcPr>
            <w:tcW w:w="1000" w:type="pct"/>
          </w:tcPr>
          <w:p w14:paraId="3665EED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7F877DA5"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7E68E476" w14:textId="77777777" w:rsidR="000A5CFA" w:rsidRPr="00490DCE" w:rsidRDefault="000A5CFA">
      <w:pPr>
        <w:pStyle w:val="body"/>
        <w:rPr>
          <w:rFonts w:ascii="Arial" w:hAnsi="Arial" w:cs="Arial"/>
          <w:color w:val="auto"/>
        </w:rPr>
      </w:pPr>
    </w:p>
    <w:p w14:paraId="191182B3" w14:textId="77777777" w:rsidR="000A5CFA" w:rsidRPr="00490DCE" w:rsidRDefault="000A5CFA" w:rsidP="00484EA1">
      <w:pPr>
        <w:pStyle w:val="footnote"/>
      </w:pPr>
      <w:r w:rsidRPr="00490DCE">
        <w:t>E/c Exceptional circumstances were granted by the Prime Minister</w:t>
      </w:r>
    </w:p>
    <w:p w14:paraId="4FCFBC02" w14:textId="77777777" w:rsidR="000A5CFA" w:rsidRPr="00490DCE" w:rsidRDefault="000A5CFA">
      <w:pPr>
        <w:pStyle w:val="body"/>
        <w:rPr>
          <w:rFonts w:ascii="Arial" w:hAnsi="Arial" w:cs="Arial"/>
          <w:color w:val="auto"/>
          <w:sz w:val="16"/>
          <w:szCs w:val="16"/>
        </w:rPr>
      </w:pPr>
    </w:p>
    <w:p w14:paraId="6F6C6E4B" w14:textId="77777777" w:rsidR="000A5CFA" w:rsidRPr="00490DCE" w:rsidRDefault="000A5CFA">
      <w:pPr>
        <w:pStyle w:val="tabletitle"/>
        <w:rPr>
          <w:rFonts w:cs="Arial"/>
          <w:lang w:val="en-US"/>
        </w:rPr>
      </w:pPr>
      <w:r w:rsidRPr="00490DCE">
        <w:rPr>
          <w:rFonts w:cs="Arial"/>
        </w:rPr>
        <w:t>5.1.12 Immigration and Citizenship</w:t>
      </w:r>
    </w:p>
    <w:tbl>
      <w:tblPr>
        <w:tblStyle w:val="LightList"/>
        <w:tblW w:w="5000" w:type="pct"/>
        <w:tblLook w:val="0020" w:firstRow="1" w:lastRow="0" w:firstColumn="0" w:lastColumn="0" w:noHBand="0" w:noVBand="0"/>
        <w:tblDescription w:val="Post-implementation Review compliance status by agency - Department of Immigration and Citizenship"/>
      </w:tblPr>
      <w:tblGrid>
        <w:gridCol w:w="1969"/>
        <w:gridCol w:w="1969"/>
        <w:gridCol w:w="1970"/>
        <w:gridCol w:w="1970"/>
        <w:gridCol w:w="1970"/>
      </w:tblGrid>
      <w:tr w:rsidR="000A5CFA" w:rsidRPr="00490DCE" w14:paraId="2410FA08"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DD01DB8"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10CA3EF"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A54C4BF"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0BE3FFE9"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3CF9EBC7"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5AD716F8"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08991498"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73B7BF4B"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6B32834D"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758F5957" w14:textId="77777777" w:rsidTr="001E6EF4">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44DD4684"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Reforms to the Temporary Work (Skilled) (Subclass 457) Visa Program</w:t>
            </w:r>
          </w:p>
          <w:p w14:paraId="77E70A9E" w14:textId="77777777" w:rsidR="000A5CFA" w:rsidRPr="00490DCE" w:rsidRDefault="000A5CFA">
            <w:pPr>
              <w:pStyle w:val="body"/>
              <w:rPr>
                <w:rFonts w:ascii="Arial" w:hAnsi="Arial" w:cs="Arial"/>
                <w:color w:val="auto"/>
              </w:rPr>
            </w:pPr>
            <w:r w:rsidRPr="00484EA1">
              <w:rPr>
                <w:rStyle w:val="italic"/>
                <w:rFonts w:ascii="Arial" w:hAnsi="Arial" w:cs="Arial"/>
                <w:i/>
                <w:color w:val="auto"/>
                <w:spacing w:val="-2"/>
              </w:rPr>
              <w:t>Several measures to tighten foreign temporary skilled work visa obligations</w:t>
            </w:r>
            <w:r w:rsidRPr="00490DCE">
              <w:rPr>
                <w:rStyle w:val="italic"/>
                <w:rFonts w:ascii="Arial" w:hAnsi="Arial" w:cs="Arial"/>
                <w:color w:val="auto"/>
                <w:spacing w:val="-2"/>
              </w:rPr>
              <w:t>.</w:t>
            </w:r>
          </w:p>
        </w:tc>
      </w:tr>
      <w:tr w:rsidR="000A5CFA" w:rsidRPr="00490DCE" w14:paraId="7A119CA3"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76347E2"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56C96485"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07221DBC"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42DB597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7404DFFB"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1CCD5529"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0B30E2E" w14:textId="77777777" w:rsidR="000A5CFA" w:rsidRPr="00484EA1" w:rsidRDefault="000A5CFA">
            <w:pPr>
              <w:pStyle w:val="body"/>
              <w:rPr>
                <w:rStyle w:val="bold"/>
                <w:rFonts w:ascii="Arial" w:hAnsi="Arial" w:cs="Arial"/>
                <w:b/>
                <w:color w:val="auto"/>
              </w:rPr>
            </w:pPr>
            <w:r w:rsidRPr="00484EA1">
              <w:rPr>
                <w:rStyle w:val="bold"/>
                <w:rFonts w:ascii="Arial" w:hAnsi="Arial" w:cs="Arial"/>
                <w:b/>
                <w:color w:val="auto"/>
              </w:rPr>
              <w:t>Labour Market Testing for 457 Visa Sponsors</w:t>
            </w:r>
          </w:p>
          <w:p w14:paraId="4033C304" w14:textId="77777777" w:rsidR="000A5CFA" w:rsidRPr="00490DCE" w:rsidRDefault="000A5CFA">
            <w:pPr>
              <w:pStyle w:val="body"/>
              <w:rPr>
                <w:rFonts w:ascii="Arial" w:hAnsi="Arial" w:cs="Arial"/>
                <w:color w:val="auto"/>
              </w:rPr>
            </w:pPr>
            <w:r w:rsidRPr="00484EA1">
              <w:rPr>
                <w:rStyle w:val="italic"/>
                <w:rFonts w:ascii="Arial" w:hAnsi="Arial" w:cs="Arial"/>
                <w:i/>
                <w:color w:val="auto"/>
              </w:rPr>
              <w:t>Introduces labour market testing requirements for prospective 457 visa sponsors</w:t>
            </w:r>
            <w:r w:rsidRPr="00490DCE">
              <w:rPr>
                <w:rStyle w:val="italic"/>
                <w:rFonts w:ascii="Arial" w:hAnsi="Arial" w:cs="Arial"/>
                <w:color w:val="auto"/>
              </w:rPr>
              <w:t>.</w:t>
            </w:r>
          </w:p>
        </w:tc>
      </w:tr>
      <w:tr w:rsidR="000A5CFA" w:rsidRPr="00490DCE" w14:paraId="5BF4100A"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C48BE2B"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5DB43AE8"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6644B47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74CC1F6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55DEB5DF"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3D183C48" w14:textId="77777777" w:rsidR="000A5CFA" w:rsidRPr="00490DCE" w:rsidRDefault="000A5CFA">
      <w:pPr>
        <w:pStyle w:val="body"/>
        <w:rPr>
          <w:rFonts w:ascii="Arial" w:hAnsi="Arial" w:cs="Arial"/>
          <w:color w:val="auto"/>
        </w:rPr>
      </w:pPr>
    </w:p>
    <w:p w14:paraId="65CD582B" w14:textId="77777777" w:rsidR="000A5CFA" w:rsidRPr="00490DCE" w:rsidRDefault="000A5CFA" w:rsidP="001E6EF4">
      <w:pPr>
        <w:pStyle w:val="footnote"/>
        <w:rPr>
          <w:rFonts w:cs="Arial"/>
          <w:color w:val="auto"/>
        </w:rPr>
      </w:pPr>
      <w:r w:rsidRPr="00490DCE">
        <w:rPr>
          <w:rFonts w:cs="Arial"/>
          <w:color w:val="auto"/>
        </w:rPr>
        <w:t>E/c Exceptional circumstances were granted by the Prime Minister</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p w14:paraId="48B6CAD1" w14:textId="77777777" w:rsidR="00125CF2" w:rsidRDefault="00125CF2">
      <w:pPr>
        <w:suppressAutoHyphens w:val="0"/>
        <w:spacing w:after="0"/>
        <w:rPr>
          <w:rFonts w:cs="Arial"/>
          <w:b/>
          <w:sz w:val="20"/>
          <w:lang w:val="en-US"/>
        </w:rPr>
      </w:pPr>
      <w:r>
        <w:rPr>
          <w:rFonts w:cs="Arial"/>
          <w:lang w:val="en-US"/>
        </w:rPr>
        <w:br w:type="page"/>
      </w:r>
    </w:p>
    <w:p w14:paraId="11BC4470" w14:textId="43D7CBEB" w:rsidR="000A5CFA" w:rsidRPr="00490DCE" w:rsidRDefault="000A5CFA">
      <w:pPr>
        <w:pStyle w:val="tabletitle"/>
        <w:rPr>
          <w:rStyle w:val="super"/>
          <w:rFonts w:cs="Arial"/>
        </w:rPr>
      </w:pPr>
      <w:r w:rsidRPr="00490DCE">
        <w:rPr>
          <w:rFonts w:cs="Arial"/>
          <w:lang w:val="en-US"/>
        </w:rPr>
        <w:lastRenderedPageBreak/>
        <w:t xml:space="preserve">5.1.13 </w:t>
      </w:r>
      <w:r w:rsidRPr="00490DCE">
        <w:rPr>
          <w:rFonts w:cs="Arial"/>
        </w:rPr>
        <w:t>Industry, Innovation, Climate Change, Science, Research and Tertiary Education</w:t>
      </w:r>
      <w:r w:rsidRPr="00490DCE">
        <w:rPr>
          <w:rStyle w:val="super"/>
          <w:rFonts w:cs="Arial"/>
        </w:rPr>
        <w:t>a</w:t>
      </w:r>
    </w:p>
    <w:tbl>
      <w:tblPr>
        <w:tblStyle w:val="LightList"/>
        <w:tblpPr w:leftFromText="180" w:rightFromText="180" w:vertAnchor="text" w:tblpY="1"/>
        <w:tblOverlap w:val="never"/>
        <w:tblW w:w="5000" w:type="pct"/>
        <w:tblLook w:val="0020" w:firstRow="1" w:lastRow="0" w:firstColumn="0" w:lastColumn="0" w:noHBand="0" w:noVBand="0"/>
        <w:tblDescription w:val="Post-implementation Review compliance status by agency - Department of Industry, Innovation, Climate Change, Science, Research and Tertiary Education"/>
      </w:tblPr>
      <w:tblGrid>
        <w:gridCol w:w="1969"/>
        <w:gridCol w:w="1969"/>
        <w:gridCol w:w="1970"/>
        <w:gridCol w:w="1970"/>
        <w:gridCol w:w="1970"/>
      </w:tblGrid>
      <w:tr w:rsidR="000A5CFA" w:rsidRPr="00490DCE" w14:paraId="7D110319"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E9A35DB"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6A1C8BA5"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0B0CFB2"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DC39751" w14:textId="77777777" w:rsidTr="0033158E">
        <w:trPr>
          <w:cnfStyle w:val="100000000000" w:firstRow="1" w:lastRow="0" w:firstColumn="0" w:lastColumn="0" w:oddVBand="0" w:evenVBand="0" w:oddHBand="0" w:evenHBand="0" w:firstRowFirstColumn="0" w:firstRowLastColumn="0" w:lastRowFirstColumn="0" w:lastRowLastColumn="0"/>
          <w:trHeight w:val="535"/>
          <w:tblHeader/>
        </w:trPr>
        <w:tc>
          <w:tcPr>
            <w:cnfStyle w:val="000010000000" w:firstRow="0" w:lastRow="0" w:firstColumn="0" w:lastColumn="0" w:oddVBand="1" w:evenVBand="0" w:oddHBand="0" w:evenHBand="0" w:firstRowFirstColumn="0" w:firstRowLastColumn="0" w:lastRowFirstColumn="0" w:lastRowLastColumn="0"/>
            <w:tcW w:w="1000" w:type="pct"/>
          </w:tcPr>
          <w:p w14:paraId="64262AAE"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27404B13"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688CE706"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0087CA31"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0" w:type="pct"/>
          </w:tcPr>
          <w:p w14:paraId="74647AB0"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69C1CAC3" w14:textId="77777777" w:rsidTr="00677C4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6390DAA9" w14:textId="77777777" w:rsidR="000A5CFA" w:rsidRPr="00484EA1" w:rsidRDefault="000A5CFA" w:rsidP="00677C46">
            <w:pPr>
              <w:pStyle w:val="body"/>
              <w:rPr>
                <w:rStyle w:val="super"/>
                <w:rFonts w:cs="Arial"/>
                <w:b/>
                <w:color w:val="auto"/>
              </w:rPr>
            </w:pPr>
            <w:r w:rsidRPr="00484EA1">
              <w:rPr>
                <w:rStyle w:val="bold"/>
                <w:rFonts w:ascii="Arial" w:hAnsi="Arial" w:cs="Arial"/>
                <w:b/>
                <w:color w:val="auto"/>
              </w:rPr>
              <w:t>Job Ready Program</w:t>
            </w:r>
            <w:r w:rsidRPr="00484EA1">
              <w:rPr>
                <w:rStyle w:val="super"/>
                <w:rFonts w:cs="Arial"/>
                <w:b/>
                <w:color w:val="auto"/>
              </w:rPr>
              <w:t>b</w:t>
            </w:r>
          </w:p>
          <w:p w14:paraId="4721763D"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Amends the job skills test requirements for onshore applicants for permanent visas</w:t>
            </w:r>
            <w:r w:rsidRPr="00490DCE">
              <w:rPr>
                <w:rStyle w:val="italic"/>
                <w:rFonts w:ascii="Arial" w:hAnsi="Arial" w:cs="Arial"/>
                <w:color w:val="auto"/>
              </w:rPr>
              <w:t>.</w:t>
            </w:r>
          </w:p>
        </w:tc>
      </w:tr>
      <w:tr w:rsidR="000A5CFA" w:rsidRPr="00490DCE" w14:paraId="39DCE0B9"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A8C9B6B"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Non-compliant</w:t>
            </w:r>
          </w:p>
        </w:tc>
        <w:tc>
          <w:tcPr>
            <w:tcW w:w="1000" w:type="pct"/>
          </w:tcPr>
          <w:p w14:paraId="0F332606"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January 2010</w:t>
            </w:r>
          </w:p>
        </w:tc>
        <w:tc>
          <w:tcPr>
            <w:cnfStyle w:val="000010000000" w:firstRow="0" w:lastRow="0" w:firstColumn="0" w:lastColumn="0" w:oddVBand="1" w:evenVBand="0" w:oddHBand="0" w:evenHBand="0" w:firstRowFirstColumn="0" w:firstRowLastColumn="0" w:lastRowFirstColumn="0" w:lastRowLastColumn="0"/>
            <w:tcW w:w="1000" w:type="pct"/>
          </w:tcPr>
          <w:p w14:paraId="384678F7"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January 2012</w:t>
            </w:r>
          </w:p>
        </w:tc>
        <w:tc>
          <w:tcPr>
            <w:tcW w:w="1000" w:type="pct"/>
          </w:tcPr>
          <w:p w14:paraId="029B6BD5"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r w:rsidRPr="00490DCE">
              <w:rPr>
                <w:rStyle w:val="super"/>
                <w:rFonts w:cs="Arial"/>
                <w:color w:val="auto"/>
              </w:rPr>
              <w:t>c</w:t>
            </w:r>
          </w:p>
        </w:tc>
        <w:tc>
          <w:tcPr>
            <w:cnfStyle w:val="000010000000" w:firstRow="0" w:lastRow="0" w:firstColumn="0" w:lastColumn="0" w:oddVBand="1" w:evenVBand="0" w:oddHBand="0" w:evenHBand="0" w:firstRowFirstColumn="0" w:firstRowLastColumn="0" w:lastRowFirstColumn="0" w:lastRowLastColumn="0"/>
            <w:tcW w:w="1000" w:type="pct"/>
          </w:tcPr>
          <w:p w14:paraId="1F848487"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r w:rsidR="000A5CFA" w:rsidRPr="00490DCE" w14:paraId="675E07C3" w14:textId="77777777" w:rsidTr="00677C4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9A5F418" w14:textId="77777777" w:rsidR="000A5CFA" w:rsidRPr="00484EA1" w:rsidRDefault="000A5CFA" w:rsidP="00677C46">
            <w:pPr>
              <w:pStyle w:val="body"/>
              <w:rPr>
                <w:rStyle w:val="super"/>
                <w:rFonts w:cs="Arial"/>
                <w:b/>
                <w:color w:val="auto"/>
              </w:rPr>
            </w:pPr>
            <w:r w:rsidRPr="00484EA1">
              <w:rPr>
                <w:rStyle w:val="bold"/>
                <w:rFonts w:ascii="Arial" w:hAnsi="Arial" w:cs="Arial"/>
                <w:b/>
                <w:color w:val="auto"/>
              </w:rPr>
              <w:t>Tuition Protection Service and Other Related Measures</w:t>
            </w:r>
            <w:r w:rsidRPr="00484EA1">
              <w:rPr>
                <w:rStyle w:val="super"/>
                <w:rFonts w:cs="Arial"/>
                <w:b/>
                <w:color w:val="auto"/>
              </w:rPr>
              <w:t>d</w:t>
            </w:r>
          </w:p>
          <w:p w14:paraId="1E922339"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Single mechanism to place international students when an education provider closes, or as a last resort, to provide refunds of unexpended course fees</w:t>
            </w:r>
            <w:r w:rsidRPr="00490DCE">
              <w:rPr>
                <w:rStyle w:val="italic"/>
                <w:rFonts w:ascii="Arial" w:hAnsi="Arial" w:cs="Arial"/>
                <w:color w:val="auto"/>
              </w:rPr>
              <w:t>.</w:t>
            </w:r>
          </w:p>
        </w:tc>
      </w:tr>
      <w:tr w:rsidR="000A5CFA" w:rsidRPr="00490DCE" w14:paraId="2CBB5024"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D5CBDAD"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Non-compliant</w:t>
            </w:r>
            <w:r w:rsidRPr="00490DCE">
              <w:rPr>
                <w:rStyle w:val="super"/>
                <w:rFonts w:cs="Arial"/>
                <w:color w:val="auto"/>
              </w:rPr>
              <w:t>e</w:t>
            </w:r>
          </w:p>
        </w:tc>
        <w:tc>
          <w:tcPr>
            <w:tcW w:w="1000" w:type="pct"/>
          </w:tcPr>
          <w:p w14:paraId="09E556AA"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3E3A6FCE"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July 2014</w:t>
            </w:r>
          </w:p>
        </w:tc>
        <w:tc>
          <w:tcPr>
            <w:tcW w:w="1000" w:type="pct"/>
          </w:tcPr>
          <w:p w14:paraId="62E00694"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7694650"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r w:rsidR="000A5CFA" w:rsidRPr="00490DCE" w14:paraId="10C60A88" w14:textId="77777777" w:rsidTr="00677C4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8FE5031" w14:textId="77777777" w:rsidR="000A5CFA" w:rsidRPr="00484EA1" w:rsidRDefault="000A5CFA" w:rsidP="00677C46">
            <w:pPr>
              <w:pStyle w:val="body"/>
              <w:rPr>
                <w:rStyle w:val="bold"/>
                <w:rFonts w:ascii="Arial" w:hAnsi="Arial" w:cs="Arial"/>
                <w:b/>
                <w:color w:val="auto"/>
              </w:rPr>
            </w:pPr>
            <w:r w:rsidRPr="00484EA1">
              <w:rPr>
                <w:rStyle w:val="bold"/>
                <w:rFonts w:ascii="Arial" w:hAnsi="Arial" w:cs="Arial"/>
                <w:b/>
                <w:color w:val="auto"/>
              </w:rPr>
              <w:t>Renewable Energy (Electricity) Amendment Regulations 2010 (No. 3)</w:t>
            </w:r>
          </w:p>
          <w:p w14:paraId="3F573CD8"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Extends safety and quality requirements for small-scale renewable energy generation systems</w:t>
            </w:r>
            <w:r w:rsidRPr="00490DCE">
              <w:rPr>
                <w:rStyle w:val="italic"/>
                <w:rFonts w:ascii="Arial" w:hAnsi="Arial" w:cs="Arial"/>
                <w:color w:val="auto"/>
              </w:rPr>
              <w:t>.</w:t>
            </w:r>
          </w:p>
        </w:tc>
      </w:tr>
      <w:tr w:rsidR="000A5CFA" w:rsidRPr="00490DCE" w14:paraId="4B6EF0C8"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88EB1A4"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Non-compliant</w:t>
            </w:r>
          </w:p>
        </w:tc>
        <w:tc>
          <w:tcPr>
            <w:tcW w:w="1000" w:type="pct"/>
          </w:tcPr>
          <w:p w14:paraId="354196D4"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18 June 2010</w:t>
            </w:r>
          </w:p>
        </w:tc>
        <w:tc>
          <w:tcPr>
            <w:cnfStyle w:val="000010000000" w:firstRow="0" w:lastRow="0" w:firstColumn="0" w:lastColumn="0" w:oddVBand="1" w:evenVBand="0" w:oddHBand="0" w:evenHBand="0" w:firstRowFirstColumn="0" w:firstRowLastColumn="0" w:lastRowFirstColumn="0" w:lastRowLastColumn="0"/>
            <w:tcW w:w="1000" w:type="pct"/>
          </w:tcPr>
          <w:p w14:paraId="304409F9"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October 2012</w:t>
            </w:r>
          </w:p>
        </w:tc>
        <w:tc>
          <w:tcPr>
            <w:tcW w:w="1000" w:type="pct"/>
          </w:tcPr>
          <w:p w14:paraId="3D3F6FD2"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45B1A760"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r w:rsidR="000A5CFA" w:rsidRPr="00490DCE" w14:paraId="1345A2DD" w14:textId="77777777" w:rsidTr="00677C4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A17F980" w14:textId="77777777" w:rsidR="000A5CFA" w:rsidRPr="00484EA1" w:rsidRDefault="000A5CFA" w:rsidP="00677C46">
            <w:pPr>
              <w:pStyle w:val="body"/>
              <w:rPr>
                <w:rStyle w:val="super"/>
                <w:rFonts w:cs="Arial"/>
                <w:b/>
                <w:color w:val="auto"/>
              </w:rPr>
            </w:pPr>
            <w:r w:rsidRPr="00484EA1">
              <w:rPr>
                <w:rStyle w:val="bold"/>
                <w:rFonts w:ascii="Arial" w:hAnsi="Arial" w:cs="Arial"/>
                <w:b/>
                <w:color w:val="auto"/>
              </w:rPr>
              <w:t>Renewable Energy (Electricity) Amendment Act 2009 and Renewable Energy (Electricity) (Charge) Amendment Act 2009</w:t>
            </w:r>
            <w:r w:rsidRPr="00484EA1">
              <w:rPr>
                <w:rStyle w:val="super"/>
                <w:rFonts w:cs="Arial"/>
                <w:b/>
                <w:color w:val="auto"/>
              </w:rPr>
              <w:t>f</w:t>
            </w:r>
          </w:p>
          <w:p w14:paraId="04CBA355"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 xml:space="preserve">Expands the renewable energy target from 9,500 </w:t>
            </w:r>
            <w:proofErr w:type="spellStart"/>
            <w:r w:rsidRPr="00484EA1">
              <w:rPr>
                <w:rStyle w:val="italic"/>
                <w:rFonts w:ascii="Arial" w:hAnsi="Arial" w:cs="Arial"/>
                <w:i/>
                <w:color w:val="auto"/>
              </w:rPr>
              <w:t>GWh</w:t>
            </w:r>
            <w:proofErr w:type="spellEnd"/>
            <w:r w:rsidRPr="00484EA1">
              <w:rPr>
                <w:rStyle w:val="italic"/>
                <w:rFonts w:ascii="Arial" w:hAnsi="Arial" w:cs="Arial"/>
                <w:i/>
                <w:color w:val="auto"/>
              </w:rPr>
              <w:t xml:space="preserve"> to 45,000 </w:t>
            </w:r>
            <w:proofErr w:type="spellStart"/>
            <w:r w:rsidRPr="00484EA1">
              <w:rPr>
                <w:rStyle w:val="italic"/>
                <w:rFonts w:ascii="Arial" w:hAnsi="Arial" w:cs="Arial"/>
                <w:i/>
                <w:color w:val="auto"/>
              </w:rPr>
              <w:t>GWh</w:t>
            </w:r>
            <w:proofErr w:type="spellEnd"/>
            <w:r w:rsidRPr="00484EA1">
              <w:rPr>
                <w:rStyle w:val="italic"/>
                <w:rFonts w:ascii="Arial" w:hAnsi="Arial" w:cs="Arial"/>
                <w:i/>
                <w:color w:val="auto"/>
              </w:rPr>
              <w:t xml:space="preserve"> by 2020 as announced on 1 December 2007</w:t>
            </w:r>
            <w:r w:rsidRPr="00490DCE">
              <w:rPr>
                <w:rStyle w:val="italic"/>
                <w:rFonts w:ascii="Arial" w:hAnsi="Arial" w:cs="Arial"/>
                <w:color w:val="auto"/>
              </w:rPr>
              <w:t>.</w:t>
            </w:r>
          </w:p>
        </w:tc>
      </w:tr>
      <w:tr w:rsidR="000A5CFA" w:rsidRPr="00490DCE" w14:paraId="46509724"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185A77D"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Non-compliant</w:t>
            </w:r>
          </w:p>
        </w:tc>
        <w:tc>
          <w:tcPr>
            <w:tcW w:w="1000" w:type="pct"/>
          </w:tcPr>
          <w:p w14:paraId="2F7750E2"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December 2010</w:t>
            </w:r>
          </w:p>
        </w:tc>
        <w:tc>
          <w:tcPr>
            <w:cnfStyle w:val="000010000000" w:firstRow="0" w:lastRow="0" w:firstColumn="0" w:lastColumn="0" w:oddVBand="1" w:evenVBand="0" w:oddHBand="0" w:evenHBand="0" w:firstRowFirstColumn="0" w:firstRowLastColumn="0" w:lastRowFirstColumn="0" w:lastRowLastColumn="0"/>
            <w:tcW w:w="1000" w:type="pct"/>
          </w:tcPr>
          <w:p w14:paraId="0F66CC4A"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October 2012</w:t>
            </w:r>
          </w:p>
        </w:tc>
        <w:tc>
          <w:tcPr>
            <w:tcW w:w="1000" w:type="pct"/>
          </w:tcPr>
          <w:p w14:paraId="75B7F2B8"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2CE773C2"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r w:rsidR="000A5CFA" w:rsidRPr="00490DCE" w14:paraId="018537F2" w14:textId="77777777" w:rsidTr="00677C46">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CC32CBA" w14:textId="77777777" w:rsidR="000A5CFA" w:rsidRPr="00484EA1" w:rsidRDefault="000A5CFA" w:rsidP="00677C46">
            <w:pPr>
              <w:pStyle w:val="body"/>
              <w:rPr>
                <w:rStyle w:val="super"/>
                <w:rFonts w:cs="Arial"/>
                <w:b/>
                <w:color w:val="auto"/>
              </w:rPr>
            </w:pPr>
            <w:r w:rsidRPr="00484EA1">
              <w:rPr>
                <w:rStyle w:val="bold"/>
                <w:rFonts w:ascii="Arial" w:hAnsi="Arial" w:cs="Arial"/>
                <w:b/>
                <w:color w:val="auto"/>
              </w:rPr>
              <w:t>Renewable Energy (Electricity) Amendment Regulations 2010 (No. 8), Renewable Energy (Electricity) Amendment Regulations 2011 (No. 2) and Renewable Energy (Electricity) Amendment Regulations 2012 (No. 8)</w:t>
            </w:r>
            <w:proofErr w:type="spellStart"/>
            <w:r w:rsidRPr="00484EA1">
              <w:rPr>
                <w:rStyle w:val="super"/>
                <w:rFonts w:cs="Arial"/>
                <w:b/>
                <w:color w:val="auto"/>
              </w:rPr>
              <w:t>f,g</w:t>
            </w:r>
            <w:proofErr w:type="spellEnd"/>
          </w:p>
          <w:p w14:paraId="06979D96"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Brings forward the scheduled annual reductions in the solar credits multiplier</w:t>
            </w:r>
            <w:r w:rsidRPr="00490DCE">
              <w:rPr>
                <w:rStyle w:val="italic"/>
                <w:rFonts w:ascii="Arial" w:hAnsi="Arial" w:cs="Arial"/>
                <w:color w:val="auto"/>
              </w:rPr>
              <w:t>.</w:t>
            </w:r>
          </w:p>
        </w:tc>
      </w:tr>
      <w:tr w:rsidR="000A5CFA" w:rsidRPr="00490DCE" w14:paraId="794CE7B2"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EBFF815"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Non-compliant</w:t>
            </w:r>
          </w:p>
        </w:tc>
        <w:tc>
          <w:tcPr>
            <w:tcW w:w="1000" w:type="pct"/>
          </w:tcPr>
          <w:p w14:paraId="559D2E2C"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8 December 2010 &amp; 16 June 2011</w:t>
            </w:r>
          </w:p>
        </w:tc>
        <w:tc>
          <w:tcPr>
            <w:cnfStyle w:val="000010000000" w:firstRow="0" w:lastRow="0" w:firstColumn="0" w:lastColumn="0" w:oddVBand="1" w:evenVBand="0" w:oddHBand="0" w:evenHBand="0" w:firstRowFirstColumn="0" w:firstRowLastColumn="0" w:lastRowFirstColumn="0" w:lastRowLastColumn="0"/>
            <w:tcW w:w="1000" w:type="pct"/>
          </w:tcPr>
          <w:p w14:paraId="0A012C9F"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October 2012</w:t>
            </w:r>
          </w:p>
        </w:tc>
        <w:tc>
          <w:tcPr>
            <w:tcW w:w="1000" w:type="pct"/>
          </w:tcPr>
          <w:p w14:paraId="6A19930C"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722B118B"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r w:rsidR="000A5CFA" w:rsidRPr="00490DCE" w14:paraId="301D459C" w14:textId="77777777" w:rsidTr="00677C46">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5000" w:type="pct"/>
            <w:gridSpan w:val="5"/>
          </w:tcPr>
          <w:p w14:paraId="16618E94" w14:textId="77777777" w:rsidR="000A5CFA" w:rsidRPr="00484EA1" w:rsidRDefault="000A5CFA" w:rsidP="00677C46">
            <w:pPr>
              <w:pStyle w:val="body"/>
              <w:rPr>
                <w:rStyle w:val="super"/>
                <w:rFonts w:cs="Arial"/>
                <w:b/>
                <w:color w:val="auto"/>
              </w:rPr>
            </w:pPr>
            <w:r w:rsidRPr="00484EA1">
              <w:rPr>
                <w:rStyle w:val="bold"/>
                <w:rFonts w:ascii="Arial" w:hAnsi="Arial" w:cs="Arial"/>
                <w:b/>
                <w:color w:val="auto"/>
              </w:rPr>
              <w:t>Phase Out of the Solar Credits Mechanism</w:t>
            </w:r>
            <w:r w:rsidRPr="00484EA1">
              <w:rPr>
                <w:rStyle w:val="super"/>
                <w:rFonts w:cs="Arial"/>
                <w:b/>
                <w:color w:val="auto"/>
              </w:rPr>
              <w:t>g</w:t>
            </w:r>
          </w:p>
          <w:p w14:paraId="37A7816F" w14:textId="77777777" w:rsidR="000A5CFA" w:rsidRPr="00490DCE" w:rsidRDefault="000A5CFA" w:rsidP="00677C46">
            <w:pPr>
              <w:pStyle w:val="body"/>
              <w:rPr>
                <w:rFonts w:ascii="Arial" w:hAnsi="Arial" w:cs="Arial"/>
                <w:color w:val="auto"/>
              </w:rPr>
            </w:pPr>
            <w:r w:rsidRPr="00484EA1">
              <w:rPr>
                <w:rStyle w:val="italic"/>
                <w:rFonts w:ascii="Arial" w:hAnsi="Arial" w:cs="Arial"/>
                <w:i/>
                <w:color w:val="auto"/>
              </w:rPr>
              <w:t>To phase out the solar credits mechanism on 1 January 2013, six months earlier than scheduled</w:t>
            </w:r>
            <w:r w:rsidRPr="00490DCE">
              <w:rPr>
                <w:rStyle w:val="italic"/>
                <w:rFonts w:ascii="Arial" w:hAnsi="Arial" w:cs="Arial"/>
                <w:color w:val="auto"/>
              </w:rPr>
              <w:t>.</w:t>
            </w:r>
          </w:p>
        </w:tc>
      </w:tr>
      <w:tr w:rsidR="000A5CFA" w:rsidRPr="00490DCE" w14:paraId="05CCF50A" w14:textId="77777777" w:rsidTr="00677C46">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E0433AE"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E/c</w:t>
            </w:r>
          </w:p>
        </w:tc>
        <w:tc>
          <w:tcPr>
            <w:tcW w:w="1000" w:type="pct"/>
          </w:tcPr>
          <w:p w14:paraId="323F9B63"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January 2013</w:t>
            </w:r>
          </w:p>
        </w:tc>
        <w:tc>
          <w:tcPr>
            <w:cnfStyle w:val="000010000000" w:firstRow="0" w:lastRow="0" w:firstColumn="0" w:lastColumn="0" w:oddVBand="1" w:evenVBand="0" w:oddHBand="0" w:evenHBand="0" w:firstRowFirstColumn="0" w:firstRowLastColumn="0" w:lastRowFirstColumn="0" w:lastRowLastColumn="0"/>
            <w:tcW w:w="1000" w:type="pct"/>
          </w:tcPr>
          <w:p w14:paraId="4D39047F"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January 2015</w:t>
            </w:r>
          </w:p>
        </w:tc>
        <w:tc>
          <w:tcPr>
            <w:tcW w:w="1000" w:type="pct"/>
          </w:tcPr>
          <w:p w14:paraId="1F6E6CAE" w14:textId="77777777" w:rsidR="000A5CFA" w:rsidRPr="00490DCE" w:rsidRDefault="000A5CFA" w:rsidP="00677C4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6A4C224E" w14:textId="77777777" w:rsidR="000A5CFA" w:rsidRPr="00490DCE" w:rsidRDefault="000A5CFA" w:rsidP="00677C46">
            <w:pPr>
              <w:pStyle w:val="body"/>
              <w:jc w:val="center"/>
              <w:rPr>
                <w:rFonts w:ascii="Arial" w:hAnsi="Arial" w:cs="Arial"/>
                <w:color w:val="auto"/>
              </w:rPr>
            </w:pPr>
            <w:r w:rsidRPr="00490DCE">
              <w:rPr>
                <w:rFonts w:ascii="Arial" w:hAnsi="Arial" w:cs="Arial"/>
                <w:color w:val="auto"/>
              </w:rPr>
              <w:t>Compliant</w:t>
            </w:r>
          </w:p>
        </w:tc>
      </w:tr>
    </w:tbl>
    <w:p w14:paraId="22E126EC" w14:textId="3170D52A" w:rsidR="001E6EF4" w:rsidRPr="00490DCE" w:rsidRDefault="001E6EF4" w:rsidP="001E6EF4">
      <w:pPr>
        <w:pStyle w:val="footnote"/>
        <w:rPr>
          <w:rStyle w:val="super"/>
          <w:rFonts w:cs="Arial"/>
          <w:color w:val="auto"/>
          <w:spacing w:val="-1"/>
        </w:rPr>
      </w:pPr>
    </w:p>
    <w:p w14:paraId="329EFE9B" w14:textId="77777777" w:rsidR="000A5CFA" w:rsidRPr="00490DCE" w:rsidRDefault="000A5CFA" w:rsidP="001E6EF4">
      <w:pPr>
        <w:pStyle w:val="footnote"/>
        <w:rPr>
          <w:rFonts w:cs="Arial"/>
          <w:color w:val="auto"/>
        </w:rPr>
      </w:pPr>
      <w:proofErr w:type="spellStart"/>
      <w:r w:rsidRPr="00490DCE">
        <w:rPr>
          <w:rStyle w:val="super"/>
          <w:rFonts w:cs="Arial"/>
          <w:color w:val="auto"/>
          <w:spacing w:val="-1"/>
        </w:rPr>
        <w:t>a</w:t>
      </w:r>
      <w:proofErr w:type="spellEnd"/>
      <w:r w:rsidRPr="00490DCE">
        <w:rPr>
          <w:rFonts w:cs="Arial"/>
          <w:color w:val="auto"/>
        </w:rPr>
        <w:t xml:space="preserve"> On 26 March 2013, the Department of Climate Change and Energy Efficiency was abolished with climate change functions transferred to the new Department of Industry, Innovation, Climate Change, Science, Research and Tertiary Education and energy efficiency functions transferred to the Department of Resources, Energy and Tourism.</w:t>
      </w:r>
    </w:p>
    <w:p w14:paraId="189A561B" w14:textId="77777777" w:rsidR="000A5CFA" w:rsidRPr="00490DCE" w:rsidRDefault="000A5CFA" w:rsidP="001E6EF4">
      <w:pPr>
        <w:pStyle w:val="footnote"/>
        <w:rPr>
          <w:rFonts w:cs="Arial"/>
          <w:color w:val="auto"/>
        </w:rPr>
      </w:pPr>
      <w:proofErr w:type="gramStart"/>
      <w:r w:rsidRPr="00490DCE">
        <w:rPr>
          <w:rStyle w:val="super"/>
          <w:rFonts w:cs="Arial"/>
          <w:color w:val="auto"/>
          <w:spacing w:val="-1"/>
        </w:rPr>
        <w:t>b</w:t>
      </w:r>
      <w:proofErr w:type="gramEnd"/>
      <w:r w:rsidRPr="00490DCE">
        <w:rPr>
          <w:rFonts w:cs="Arial"/>
          <w:color w:val="auto"/>
        </w:rPr>
        <w:t xml:space="preserve"> This PIR was previously referred to as “Migration Amendment Regulations 2009 (No.15)”. The PIR was jointly prepared by the Department of Industry, Innovation, Climate Change, Science, Research and Tertiary Education and the Department of Immigration and Citizenship.</w:t>
      </w:r>
    </w:p>
    <w:p w14:paraId="73E5FC75" w14:textId="77777777" w:rsidR="000A5CFA" w:rsidRPr="00490DCE" w:rsidRDefault="000A5CFA" w:rsidP="001E6EF4">
      <w:pPr>
        <w:pStyle w:val="footnote"/>
        <w:rPr>
          <w:rFonts w:cs="Arial"/>
          <w:color w:val="auto"/>
        </w:rPr>
      </w:pPr>
      <w:proofErr w:type="gramStart"/>
      <w:r w:rsidRPr="00490DCE">
        <w:rPr>
          <w:rStyle w:val="super"/>
          <w:rFonts w:cs="Arial"/>
          <w:color w:val="auto"/>
          <w:spacing w:val="-1"/>
        </w:rPr>
        <w:t>c</w:t>
      </w:r>
      <w:proofErr w:type="gramEnd"/>
      <w:r w:rsidRPr="00490DCE">
        <w:rPr>
          <w:rFonts w:cs="Arial"/>
          <w:color w:val="auto"/>
        </w:rPr>
        <w:t xml:space="preserve"> The PIR was published in 2013–14.</w:t>
      </w:r>
    </w:p>
    <w:p w14:paraId="59130C9D" w14:textId="77777777" w:rsidR="000A5CFA" w:rsidRPr="00490DCE" w:rsidRDefault="000A5CFA" w:rsidP="001E6EF4">
      <w:pPr>
        <w:pStyle w:val="footnote"/>
        <w:rPr>
          <w:rFonts w:cs="Arial"/>
          <w:color w:val="auto"/>
        </w:rPr>
      </w:pPr>
      <w:proofErr w:type="gramStart"/>
      <w:r w:rsidRPr="00490DCE">
        <w:rPr>
          <w:rStyle w:val="super"/>
          <w:rFonts w:cs="Arial"/>
          <w:color w:val="auto"/>
          <w:spacing w:val="-1"/>
        </w:rPr>
        <w:t>d</w:t>
      </w:r>
      <w:proofErr w:type="gramEnd"/>
      <w:r w:rsidRPr="00490DCE">
        <w:rPr>
          <w:rFonts w:cs="Arial"/>
          <w:color w:val="auto"/>
        </w:rPr>
        <w:t xml:space="preserve"> This PIR, formerly the responsibility of the Department of Education, Employment and Workplace Relations, is to be undertaken by the Department of Industry, Innovation, Climate Change, Science, Research and Tertiary Education due to machinery of Government changes.</w:t>
      </w:r>
    </w:p>
    <w:p w14:paraId="4AD7C378" w14:textId="77777777" w:rsidR="000A5CFA" w:rsidRPr="00490DCE" w:rsidRDefault="000A5CFA" w:rsidP="001E6EF4">
      <w:pPr>
        <w:pStyle w:val="footnote"/>
        <w:rPr>
          <w:rFonts w:cs="Arial"/>
          <w:color w:val="auto"/>
        </w:rPr>
      </w:pPr>
      <w:proofErr w:type="gramStart"/>
      <w:r w:rsidRPr="00490DCE">
        <w:rPr>
          <w:rFonts w:cs="Arial"/>
          <w:color w:val="auto"/>
        </w:rPr>
        <w:t>e</w:t>
      </w:r>
      <w:proofErr w:type="gramEnd"/>
      <w:r w:rsidRPr="00490DCE">
        <w:rPr>
          <w:rFonts w:cs="Arial"/>
          <w:color w:val="auto"/>
        </w:rPr>
        <w:t xml:space="preserve"> An adequate RIS was not provided to the decision-maker. However, an implementation RIS was completed for the transparency stage. A PIR will still be required one to two years after implementation.</w:t>
      </w:r>
    </w:p>
    <w:p w14:paraId="5272A3AA" w14:textId="77777777" w:rsidR="000A5CFA" w:rsidRPr="00490DCE" w:rsidRDefault="000A5CFA" w:rsidP="001E6EF4">
      <w:pPr>
        <w:pStyle w:val="footnote"/>
        <w:rPr>
          <w:rFonts w:cs="Arial"/>
          <w:color w:val="auto"/>
        </w:rPr>
      </w:pPr>
      <w:proofErr w:type="spellStart"/>
      <w:proofErr w:type="gramStart"/>
      <w:r w:rsidRPr="00490DCE">
        <w:rPr>
          <w:rStyle w:val="super"/>
          <w:rFonts w:cs="Arial"/>
          <w:color w:val="auto"/>
          <w:spacing w:val="-1"/>
        </w:rPr>
        <w:t>f</w:t>
      </w:r>
      <w:proofErr w:type="spellEnd"/>
      <w:proofErr w:type="gramEnd"/>
      <w:r w:rsidRPr="00490DCE">
        <w:rPr>
          <w:rFonts w:cs="Arial"/>
          <w:color w:val="auto"/>
        </w:rPr>
        <w:t xml:space="preserve"> The completion date for these PIRs were extended to allow information to be included from a review undertaken by the Climate Change Authority.</w:t>
      </w:r>
    </w:p>
    <w:p w14:paraId="12FD9F21" w14:textId="77777777" w:rsidR="000A5CFA" w:rsidRPr="00490DCE" w:rsidRDefault="000A5CFA" w:rsidP="001E6EF4">
      <w:pPr>
        <w:pStyle w:val="footnote"/>
        <w:rPr>
          <w:rFonts w:cs="Arial"/>
          <w:color w:val="auto"/>
        </w:rPr>
      </w:pPr>
      <w:proofErr w:type="gramStart"/>
      <w:r w:rsidRPr="00490DCE">
        <w:rPr>
          <w:rStyle w:val="super"/>
          <w:rFonts w:cs="Arial"/>
          <w:color w:val="auto"/>
          <w:spacing w:val="-1"/>
        </w:rPr>
        <w:lastRenderedPageBreak/>
        <w:t>g</w:t>
      </w:r>
      <w:proofErr w:type="gramEnd"/>
      <w:r w:rsidRPr="00490DCE">
        <w:rPr>
          <w:rFonts w:cs="Arial"/>
          <w:color w:val="auto"/>
        </w:rPr>
        <w:t xml:space="preserve"> A single PIR was prepared for the Government’s decisions in late 2010, mid-2011 and late 2012 to bring forward the phase-out of the solar credits mechanism under the Renewable Energy Target.</w:t>
      </w:r>
    </w:p>
    <w:p w14:paraId="278F829A" w14:textId="50AE8306" w:rsidR="00125CF2" w:rsidRPr="004C1C68" w:rsidRDefault="000A5CFA" w:rsidP="004C1C68">
      <w:pPr>
        <w:pStyle w:val="footnote"/>
        <w:spacing w:after="240"/>
        <w:rPr>
          <w:rFonts w:cs="Arial"/>
          <w:color w:val="auto"/>
        </w:rPr>
      </w:pPr>
      <w:r w:rsidRPr="00490DCE">
        <w:rPr>
          <w:rFonts w:cs="Arial"/>
          <w:color w:val="auto"/>
        </w:rPr>
        <w:t>E/c Exceptional circumstances were granted by the Prime Minister.</w:t>
      </w:r>
    </w:p>
    <w:p w14:paraId="5ABDAA0B" w14:textId="47921D25" w:rsidR="000A5CFA" w:rsidRPr="00490DCE" w:rsidRDefault="000A5CFA" w:rsidP="00125CF2">
      <w:pPr>
        <w:pStyle w:val="tabletitle"/>
        <w:ind w:left="0" w:firstLine="0"/>
        <w:rPr>
          <w:rFonts w:cs="Arial"/>
        </w:rPr>
      </w:pPr>
      <w:r w:rsidRPr="00490DCE">
        <w:rPr>
          <w:rFonts w:cs="Arial"/>
        </w:rPr>
        <w:t>5.1.14 Infrastructure and Transport</w:t>
      </w:r>
    </w:p>
    <w:tbl>
      <w:tblPr>
        <w:tblStyle w:val="LightList"/>
        <w:tblW w:w="5000" w:type="pct"/>
        <w:tblLook w:val="0020" w:firstRow="1" w:lastRow="0" w:firstColumn="0" w:lastColumn="0" w:noHBand="0" w:noVBand="0"/>
        <w:tblDescription w:val="Post-implementation Review compliance status by agency - Department of Infrastructure and Transport"/>
      </w:tblPr>
      <w:tblGrid>
        <w:gridCol w:w="1969"/>
        <w:gridCol w:w="1969"/>
        <w:gridCol w:w="1970"/>
        <w:gridCol w:w="1970"/>
        <w:gridCol w:w="1970"/>
      </w:tblGrid>
      <w:tr w:rsidR="000A5CFA" w:rsidRPr="00490DCE" w14:paraId="33DC87B7"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9315026"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30E48B82"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E4F3D04"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75F2191E" w14:textId="77777777" w:rsidTr="0033158E">
        <w:trPr>
          <w:cnfStyle w:val="100000000000" w:firstRow="1" w:lastRow="0" w:firstColumn="0" w:lastColumn="0" w:oddVBand="0" w:evenVBand="0" w:oddHBand="0" w:evenHBand="0" w:firstRowFirstColumn="0" w:firstRowLastColumn="0" w:lastRowFirstColumn="0" w:lastRowLastColumn="0"/>
          <w:trHeight w:val="535"/>
          <w:tblHeader/>
        </w:trPr>
        <w:tc>
          <w:tcPr>
            <w:cnfStyle w:val="000010000000" w:firstRow="0" w:lastRow="0" w:firstColumn="0" w:lastColumn="0" w:oddVBand="1" w:evenVBand="0" w:oddHBand="0" w:evenHBand="0" w:firstRowFirstColumn="0" w:firstRowLastColumn="0" w:lastRowFirstColumn="0" w:lastRowLastColumn="0"/>
            <w:tcW w:w="1000" w:type="pct"/>
          </w:tcPr>
          <w:p w14:paraId="4AC8D7E3"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160EFB41"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57C9B3A5"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6FFDA245"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70472F65"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01932CFA" w14:textId="77777777" w:rsidTr="001E6EF4">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63BA9599"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Aviation Transport Security Amendment (Additional Screening Measures) Act 2007; Aviation Transport Security Amendment Regulations 2007 (No. 4)</w:t>
            </w:r>
          </w:p>
          <w:p w14:paraId="0809F89C" w14:textId="77777777" w:rsidR="000A5CFA" w:rsidRPr="00490DCE" w:rsidRDefault="000A5CFA">
            <w:pPr>
              <w:pStyle w:val="body"/>
              <w:rPr>
                <w:rFonts w:ascii="Arial" w:hAnsi="Arial" w:cs="Arial"/>
                <w:color w:val="auto"/>
              </w:rPr>
            </w:pPr>
            <w:r w:rsidRPr="00673FFE">
              <w:rPr>
                <w:rStyle w:val="italic"/>
                <w:rFonts w:ascii="Arial" w:hAnsi="Arial" w:cs="Arial"/>
                <w:i/>
                <w:color w:val="auto"/>
              </w:rPr>
              <w:t>Restrictions on the quantity of liquid, aerosol and gel items that may be taken on international flights to, from or through Australia</w:t>
            </w:r>
            <w:r w:rsidRPr="00490DCE">
              <w:rPr>
                <w:rStyle w:val="italic"/>
                <w:rFonts w:ascii="Arial" w:hAnsi="Arial" w:cs="Arial"/>
                <w:color w:val="auto"/>
              </w:rPr>
              <w:t>.</w:t>
            </w:r>
          </w:p>
        </w:tc>
      </w:tr>
      <w:tr w:rsidR="000A5CFA" w:rsidRPr="00490DCE" w14:paraId="261397EA"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6311E0F"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255AD18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September 2007</w:t>
            </w:r>
          </w:p>
        </w:tc>
        <w:tc>
          <w:tcPr>
            <w:cnfStyle w:val="000010000000" w:firstRow="0" w:lastRow="0" w:firstColumn="0" w:lastColumn="0" w:oddVBand="1" w:evenVBand="0" w:oddHBand="0" w:evenHBand="0" w:firstRowFirstColumn="0" w:firstRowLastColumn="0" w:lastRowFirstColumn="0" w:lastRowLastColumn="0"/>
            <w:tcW w:w="1000" w:type="pct"/>
          </w:tcPr>
          <w:p w14:paraId="28244612" w14:textId="77777777" w:rsidR="000A5CFA" w:rsidRPr="00490DCE" w:rsidRDefault="000A5CFA">
            <w:pPr>
              <w:pStyle w:val="body"/>
              <w:jc w:val="center"/>
              <w:rPr>
                <w:rFonts w:ascii="Arial" w:hAnsi="Arial" w:cs="Arial"/>
                <w:color w:val="auto"/>
              </w:rPr>
            </w:pPr>
            <w:r w:rsidRPr="00490DCE">
              <w:rPr>
                <w:rFonts w:ascii="Arial" w:hAnsi="Arial" w:cs="Arial"/>
                <w:color w:val="auto"/>
              </w:rPr>
              <w:t>September 2009</w:t>
            </w:r>
          </w:p>
        </w:tc>
        <w:tc>
          <w:tcPr>
            <w:tcW w:w="1000" w:type="pct"/>
          </w:tcPr>
          <w:p w14:paraId="12A0F2ED"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1" w:type="pct"/>
          </w:tcPr>
          <w:p w14:paraId="439429C7"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r>
      <w:tr w:rsidR="000A5CFA" w:rsidRPr="00490DCE" w14:paraId="484EC6AB"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8B7BB48"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Tripartite Deeds for 9 Federally Leased Airports</w:t>
            </w:r>
          </w:p>
          <w:p w14:paraId="1B9899BE" w14:textId="3F6B7F8E" w:rsidR="000A5CFA" w:rsidRPr="00490DCE" w:rsidRDefault="000A5CFA" w:rsidP="00673FFE">
            <w:pPr>
              <w:pStyle w:val="body"/>
              <w:rPr>
                <w:rFonts w:ascii="Arial" w:hAnsi="Arial" w:cs="Arial"/>
                <w:color w:val="auto"/>
              </w:rPr>
            </w:pPr>
            <w:r w:rsidRPr="00673FFE">
              <w:rPr>
                <w:rStyle w:val="italic"/>
                <w:rFonts w:ascii="Arial" w:hAnsi="Arial" w:cs="Arial"/>
                <w:i/>
                <w:color w:val="auto"/>
              </w:rPr>
              <w:t>Offer of tripartite deeds to 9 federally leased airports for the remainder of the current airport lease</w:t>
            </w:r>
            <w:r w:rsidRPr="00490DCE">
              <w:rPr>
                <w:rStyle w:val="italic"/>
                <w:rFonts w:ascii="Arial" w:hAnsi="Arial" w:cs="Arial"/>
                <w:color w:val="auto"/>
              </w:rPr>
              <w:t>.</w:t>
            </w:r>
          </w:p>
        </w:tc>
      </w:tr>
      <w:tr w:rsidR="000A5CFA" w:rsidRPr="00490DCE" w14:paraId="6CD3B867"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1287440"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580084D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implemented </w:t>
            </w:r>
          </w:p>
        </w:tc>
        <w:tc>
          <w:tcPr>
            <w:cnfStyle w:val="000010000000" w:firstRow="0" w:lastRow="0" w:firstColumn="0" w:lastColumn="0" w:oddVBand="1" w:evenVBand="0" w:oddHBand="0" w:evenHBand="0" w:firstRowFirstColumn="0" w:firstRowLastColumn="0" w:lastRowFirstColumn="0" w:lastRowLastColumn="0"/>
            <w:tcW w:w="1000" w:type="pct"/>
          </w:tcPr>
          <w:p w14:paraId="26F4A118"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11D4D4A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2CEF210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5A37CCD9"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156289A"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Tripartite Deeds for 12 Australian Privatised Airports</w:t>
            </w:r>
          </w:p>
          <w:p w14:paraId="3160660D" w14:textId="77777777" w:rsidR="000A5CFA" w:rsidRPr="00490DCE" w:rsidRDefault="000A5CFA">
            <w:pPr>
              <w:pStyle w:val="body"/>
              <w:rPr>
                <w:rFonts w:ascii="Arial" w:hAnsi="Arial" w:cs="Arial"/>
                <w:color w:val="auto"/>
              </w:rPr>
            </w:pPr>
            <w:r w:rsidRPr="00673FFE">
              <w:rPr>
                <w:rStyle w:val="italic"/>
                <w:rFonts w:ascii="Arial" w:hAnsi="Arial" w:cs="Arial"/>
                <w:i/>
                <w:color w:val="auto"/>
              </w:rPr>
              <w:t>Extend the existing tripartite deeds for the 12 Australian privatised airports from 20 to 50 years</w:t>
            </w:r>
            <w:r w:rsidRPr="00490DCE">
              <w:rPr>
                <w:rStyle w:val="italic"/>
                <w:rFonts w:ascii="Arial" w:hAnsi="Arial" w:cs="Arial"/>
                <w:color w:val="auto"/>
              </w:rPr>
              <w:t>.</w:t>
            </w:r>
          </w:p>
        </w:tc>
      </w:tr>
      <w:tr w:rsidR="000A5CFA" w:rsidRPr="00490DCE" w14:paraId="1C1D6DF0"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9BA8FA7"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7525C5F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4527AB4E"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1DE3B9D0"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445C184F"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6BA0A4E4" w14:textId="77777777" w:rsidTr="001E6EF4">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00F3E7F"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Aviation Transport Security Amendment Regulations 2009 (No. 3)</w:t>
            </w:r>
          </w:p>
          <w:p w14:paraId="53DD4B5A" w14:textId="77777777" w:rsidR="000A5CFA" w:rsidRPr="00490DCE" w:rsidRDefault="000A5CFA" w:rsidP="001E6EF4">
            <w:pPr>
              <w:pStyle w:val="body"/>
              <w:rPr>
                <w:rFonts w:ascii="Arial" w:hAnsi="Arial" w:cs="Arial"/>
                <w:color w:val="auto"/>
              </w:rPr>
            </w:pPr>
            <w:r w:rsidRPr="00673FFE">
              <w:rPr>
                <w:rStyle w:val="italic"/>
                <w:rFonts w:ascii="Arial" w:hAnsi="Arial" w:cs="Arial"/>
                <w:i/>
                <w:color w:val="auto"/>
              </w:rPr>
              <w:t>Inspection of all airport staff, goods and vehicles entering and leaving airside at Australian airports</w:t>
            </w:r>
            <w:r w:rsidRPr="00490DCE">
              <w:rPr>
                <w:rStyle w:val="italic"/>
                <w:rFonts w:ascii="Arial" w:hAnsi="Arial" w:cs="Arial"/>
                <w:color w:val="auto"/>
              </w:rPr>
              <w:t>.</w:t>
            </w:r>
          </w:p>
        </w:tc>
      </w:tr>
      <w:tr w:rsidR="000A5CFA" w:rsidRPr="00490DCE" w14:paraId="76F97D6F" w14:textId="77777777" w:rsidTr="001E6EF4">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CE2BFEF"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71E9E619"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352D48B7"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254B633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582AA49A"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5C4E1531" w14:textId="77777777" w:rsidR="001E6EF4" w:rsidRPr="00490DCE" w:rsidRDefault="001E6EF4" w:rsidP="001E6EF4">
      <w:pPr>
        <w:pStyle w:val="footnote"/>
        <w:rPr>
          <w:rFonts w:cs="Arial"/>
          <w:color w:val="auto"/>
        </w:rPr>
      </w:pPr>
    </w:p>
    <w:p w14:paraId="3A8FDB08" w14:textId="77777777" w:rsidR="000A5CFA" w:rsidRPr="00490DCE" w:rsidRDefault="000A5CFA" w:rsidP="001E6EF4">
      <w:pPr>
        <w:pStyle w:val="footnote"/>
        <w:rPr>
          <w:rFonts w:cs="Arial"/>
          <w:color w:val="auto"/>
        </w:rPr>
      </w:pPr>
      <w:r w:rsidRPr="00490DCE">
        <w:rPr>
          <w:rFonts w:cs="Arial"/>
          <w:color w:val="auto"/>
        </w:rPr>
        <w:t>.. Not applicable</w:t>
      </w:r>
    </w:p>
    <w:p w14:paraId="3BD2A0C4" w14:textId="77777777" w:rsidR="000A5CFA" w:rsidRPr="00490DCE" w:rsidRDefault="000A5CFA">
      <w:pPr>
        <w:pStyle w:val="tabletitle"/>
        <w:rPr>
          <w:rFonts w:cs="Arial"/>
        </w:rPr>
      </w:pPr>
      <w:r w:rsidRPr="00490DCE">
        <w:rPr>
          <w:rFonts w:cs="Arial"/>
        </w:rPr>
        <w:t>5.1.15 Regional Australia, Local Government, Arts and Sport</w:t>
      </w:r>
    </w:p>
    <w:tbl>
      <w:tblPr>
        <w:tblStyle w:val="LightList"/>
        <w:tblW w:w="5000" w:type="pct"/>
        <w:tblLook w:val="0020" w:firstRow="1" w:lastRow="0" w:firstColumn="0" w:lastColumn="0" w:noHBand="0" w:noVBand="0"/>
        <w:tblDescription w:val="Post-implementation Review compliance status by agency - Department of Regional Australia, Local Government, Arts and Sport"/>
      </w:tblPr>
      <w:tblGrid>
        <w:gridCol w:w="1969"/>
        <w:gridCol w:w="1969"/>
        <w:gridCol w:w="1970"/>
        <w:gridCol w:w="1970"/>
        <w:gridCol w:w="1970"/>
      </w:tblGrid>
      <w:tr w:rsidR="000A5CFA" w:rsidRPr="00490DCE" w14:paraId="161B8F84"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A6E5765"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F67AC5B"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3A5D7BEB"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02FA2E7C"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374BEB90"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7698B83E"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5BE126EC"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679F0413"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5A6C2CA9"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0898EEF9" w14:textId="77777777" w:rsidTr="00E83657">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52D5EB6A"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Resale Royalty Right for Visual Artists Bill 2008</w:t>
            </w:r>
          </w:p>
          <w:p w14:paraId="73B52D54" w14:textId="77777777" w:rsidR="000A5CFA" w:rsidRPr="00490DCE" w:rsidRDefault="000A5CFA">
            <w:pPr>
              <w:pStyle w:val="body"/>
              <w:rPr>
                <w:rFonts w:ascii="Arial" w:hAnsi="Arial" w:cs="Arial"/>
                <w:color w:val="auto"/>
              </w:rPr>
            </w:pPr>
            <w:r w:rsidRPr="00673FFE">
              <w:rPr>
                <w:rStyle w:val="italic"/>
                <w:rFonts w:ascii="Arial" w:hAnsi="Arial" w:cs="Arial"/>
                <w:i/>
                <w:color w:val="auto"/>
                <w:spacing w:val="-4"/>
              </w:rPr>
              <w:t>Establishes an inalienable resale royalty right for visual artists</w:t>
            </w:r>
            <w:r w:rsidRPr="00490DCE">
              <w:rPr>
                <w:rStyle w:val="italic"/>
                <w:rFonts w:ascii="Arial" w:hAnsi="Arial" w:cs="Arial"/>
                <w:color w:val="auto"/>
                <w:spacing w:val="-4"/>
              </w:rPr>
              <w:t>.</w:t>
            </w:r>
          </w:p>
        </w:tc>
      </w:tr>
      <w:tr w:rsidR="000A5CFA" w:rsidRPr="00490DCE" w14:paraId="69BC7251" w14:textId="77777777" w:rsidTr="00E83657">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E1478E2"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226E594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2010</w:t>
            </w:r>
          </w:p>
        </w:tc>
        <w:tc>
          <w:tcPr>
            <w:cnfStyle w:val="000010000000" w:firstRow="0" w:lastRow="0" w:firstColumn="0" w:lastColumn="0" w:oddVBand="1" w:evenVBand="0" w:oddHBand="0" w:evenHBand="0" w:firstRowFirstColumn="0" w:firstRowLastColumn="0" w:lastRowFirstColumn="0" w:lastRowLastColumn="0"/>
            <w:tcW w:w="1000" w:type="pct"/>
          </w:tcPr>
          <w:p w14:paraId="7E64F20E" w14:textId="77777777" w:rsidR="000A5CFA" w:rsidRPr="00490DCE" w:rsidRDefault="000A5CFA">
            <w:pPr>
              <w:pStyle w:val="body"/>
              <w:jc w:val="center"/>
              <w:rPr>
                <w:rFonts w:ascii="Arial" w:hAnsi="Arial" w:cs="Arial"/>
                <w:color w:val="auto"/>
              </w:rPr>
            </w:pPr>
            <w:r w:rsidRPr="00490DCE">
              <w:rPr>
                <w:rFonts w:ascii="Arial" w:hAnsi="Arial" w:cs="Arial"/>
                <w:color w:val="auto"/>
              </w:rPr>
              <w:t>June 2013</w:t>
            </w:r>
            <w:r w:rsidRPr="00490DCE">
              <w:rPr>
                <w:rStyle w:val="super"/>
                <w:rFonts w:cs="Arial"/>
                <w:color w:val="auto"/>
              </w:rPr>
              <w:t>a</w:t>
            </w:r>
          </w:p>
        </w:tc>
        <w:tc>
          <w:tcPr>
            <w:tcW w:w="1000" w:type="pct"/>
          </w:tcPr>
          <w:p w14:paraId="01A6F26F"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1" w:type="pct"/>
          </w:tcPr>
          <w:p w14:paraId="7CAF3CC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536CEC9D" w14:textId="77777777" w:rsidTr="00E8365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D7A7DBD"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Enhancements from the Review of the Australian Independent Screen Production Sector</w:t>
            </w:r>
          </w:p>
          <w:p w14:paraId="5F36C693" w14:textId="77777777" w:rsidR="000A5CFA" w:rsidRPr="00490DCE" w:rsidRDefault="000A5CFA">
            <w:pPr>
              <w:pStyle w:val="body"/>
              <w:rPr>
                <w:rFonts w:ascii="Arial" w:hAnsi="Arial" w:cs="Arial"/>
                <w:color w:val="auto"/>
              </w:rPr>
            </w:pPr>
            <w:r w:rsidRPr="00673FFE">
              <w:rPr>
                <w:rStyle w:val="italic"/>
                <w:rFonts w:ascii="Arial" w:hAnsi="Arial" w:cs="Arial"/>
                <w:i/>
                <w:color w:val="auto"/>
              </w:rPr>
              <w:t>Implements a package of enhancements to the film tax offsets program</w:t>
            </w:r>
            <w:r w:rsidRPr="00490DCE">
              <w:rPr>
                <w:rStyle w:val="italic"/>
                <w:rFonts w:ascii="Arial" w:hAnsi="Arial" w:cs="Arial"/>
                <w:color w:val="auto"/>
              </w:rPr>
              <w:t>.</w:t>
            </w:r>
          </w:p>
        </w:tc>
      </w:tr>
      <w:tr w:rsidR="000A5CFA" w:rsidRPr="00490DCE" w14:paraId="44D1E1D9" w14:textId="77777777" w:rsidTr="00E83657">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4BE1C81"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5C582FB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September 2011</w:t>
            </w:r>
          </w:p>
        </w:tc>
        <w:tc>
          <w:tcPr>
            <w:cnfStyle w:val="000010000000" w:firstRow="0" w:lastRow="0" w:firstColumn="0" w:lastColumn="0" w:oddVBand="1" w:evenVBand="0" w:oddHBand="0" w:evenHBand="0" w:firstRowFirstColumn="0" w:firstRowLastColumn="0" w:lastRowFirstColumn="0" w:lastRowLastColumn="0"/>
            <w:tcW w:w="1000" w:type="pct"/>
          </w:tcPr>
          <w:p w14:paraId="3E2A874C" w14:textId="77777777" w:rsidR="000A5CFA" w:rsidRPr="00490DCE" w:rsidRDefault="000A5CFA">
            <w:pPr>
              <w:pStyle w:val="body"/>
              <w:jc w:val="center"/>
              <w:rPr>
                <w:rFonts w:ascii="Arial" w:hAnsi="Arial" w:cs="Arial"/>
                <w:color w:val="auto"/>
              </w:rPr>
            </w:pPr>
            <w:r w:rsidRPr="00490DCE">
              <w:rPr>
                <w:rFonts w:ascii="Arial" w:hAnsi="Arial" w:cs="Arial"/>
                <w:color w:val="auto"/>
              </w:rPr>
              <w:t>September 2013</w:t>
            </w:r>
          </w:p>
        </w:tc>
        <w:tc>
          <w:tcPr>
            <w:tcW w:w="1000" w:type="pct"/>
          </w:tcPr>
          <w:p w14:paraId="00953AF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7803CCBA"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42D224F6" w14:textId="77777777" w:rsidR="000A5CFA" w:rsidRPr="00490DCE" w:rsidRDefault="000A5CFA">
      <w:pPr>
        <w:pStyle w:val="body"/>
        <w:rPr>
          <w:rFonts w:ascii="Arial" w:hAnsi="Arial" w:cs="Arial"/>
          <w:color w:val="auto"/>
        </w:rPr>
      </w:pPr>
    </w:p>
    <w:p w14:paraId="12E0D71F" w14:textId="77777777" w:rsidR="000A5CFA" w:rsidRPr="00490DCE" w:rsidRDefault="000A5CFA" w:rsidP="00E83657">
      <w:pPr>
        <w:pStyle w:val="foot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w:t>
      </w:r>
      <w:proofErr w:type="spellStart"/>
      <w:r w:rsidRPr="00490DCE">
        <w:rPr>
          <w:rFonts w:cs="Arial"/>
          <w:color w:val="auto"/>
        </w:rPr>
        <w:t>A</w:t>
      </w:r>
      <w:proofErr w:type="spellEnd"/>
      <w:r w:rsidRPr="00490DCE">
        <w:rPr>
          <w:rFonts w:cs="Arial"/>
          <w:color w:val="auto"/>
        </w:rPr>
        <w:t xml:space="preserve"> later PIR start date was agreed with the Office of the Arts</w:t>
      </w:r>
    </w:p>
    <w:p w14:paraId="56A98D5D" w14:textId="77777777" w:rsidR="000A5CFA" w:rsidRPr="00490DCE" w:rsidRDefault="00E83657">
      <w:pPr>
        <w:pStyle w:val="tabletitle"/>
        <w:rPr>
          <w:rFonts w:cs="Arial"/>
        </w:rPr>
      </w:pPr>
      <w:r w:rsidRPr="00490DCE">
        <w:rPr>
          <w:rFonts w:cs="Arial"/>
        </w:rPr>
        <w:br w:type="page"/>
      </w:r>
      <w:r w:rsidR="000A5CFA" w:rsidRPr="00490DCE">
        <w:rPr>
          <w:rFonts w:cs="Arial"/>
        </w:rPr>
        <w:lastRenderedPageBreak/>
        <w:t>5.1.16 Resources, Energy and Tourism</w:t>
      </w:r>
      <w:r w:rsidR="000A5CFA" w:rsidRPr="00490DCE">
        <w:rPr>
          <w:rStyle w:val="super"/>
          <w:rFonts w:cs="Arial"/>
        </w:rPr>
        <w:t>a</w:t>
      </w:r>
    </w:p>
    <w:tbl>
      <w:tblPr>
        <w:tblStyle w:val="LightList"/>
        <w:tblW w:w="5000" w:type="pct"/>
        <w:tblLook w:val="0020" w:firstRow="1" w:lastRow="0" w:firstColumn="0" w:lastColumn="0" w:noHBand="0" w:noVBand="0"/>
        <w:tblDescription w:val="Post-implementation Review compliance status by agency - Department of Resources, Energy and Tourism"/>
      </w:tblPr>
      <w:tblGrid>
        <w:gridCol w:w="1969"/>
        <w:gridCol w:w="1969"/>
        <w:gridCol w:w="1970"/>
        <w:gridCol w:w="1970"/>
        <w:gridCol w:w="1970"/>
      </w:tblGrid>
      <w:tr w:rsidR="000A5CFA" w:rsidRPr="00490DCE" w14:paraId="58676BE0"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1A0FF1A"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773C8F31"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12A24BA4"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F5DE63D"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694E48FA"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7B529A86"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2AFF029D"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1414054C"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5F1BFA4B"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68EA1153" w14:textId="77777777" w:rsidTr="00E83657">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60568794"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Extending the Energy Efficiency Opportunities Program to Major New Developments and Expansion Projects</w:t>
            </w:r>
          </w:p>
          <w:p w14:paraId="729C154D" w14:textId="77777777" w:rsidR="000A5CFA" w:rsidRPr="00490DCE" w:rsidRDefault="000A5CFA">
            <w:pPr>
              <w:pStyle w:val="body"/>
              <w:rPr>
                <w:rFonts w:ascii="Arial" w:hAnsi="Arial" w:cs="Arial"/>
                <w:color w:val="auto"/>
              </w:rPr>
            </w:pPr>
            <w:r w:rsidRPr="00673FFE">
              <w:rPr>
                <w:rStyle w:val="italic"/>
                <w:rFonts w:ascii="Arial" w:hAnsi="Arial" w:cs="Arial"/>
                <w:i/>
                <w:color w:val="auto"/>
              </w:rPr>
              <w:t>Requires large construction projects to undertake energy savings audits at the design stage</w:t>
            </w:r>
            <w:r w:rsidRPr="00490DCE">
              <w:rPr>
                <w:rStyle w:val="italic"/>
                <w:rFonts w:ascii="Arial" w:hAnsi="Arial" w:cs="Arial"/>
                <w:color w:val="auto"/>
              </w:rPr>
              <w:t>.</w:t>
            </w:r>
          </w:p>
        </w:tc>
      </w:tr>
      <w:tr w:rsidR="000A5CFA" w:rsidRPr="00490DCE" w14:paraId="309AC050" w14:textId="77777777" w:rsidTr="00E83657">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6A77BC9"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1244B7A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7146F974" w14:textId="77777777" w:rsidR="000A5CFA" w:rsidRPr="00490DCE" w:rsidRDefault="000A5CFA">
            <w:pPr>
              <w:pStyle w:val="body"/>
              <w:jc w:val="center"/>
              <w:rPr>
                <w:rFonts w:ascii="Arial" w:hAnsi="Arial" w:cs="Arial"/>
                <w:color w:val="auto"/>
              </w:rPr>
            </w:pPr>
            <w:r w:rsidRPr="00490DCE">
              <w:rPr>
                <w:rFonts w:ascii="Arial" w:hAnsi="Arial" w:cs="Arial"/>
                <w:color w:val="auto"/>
              </w:rPr>
              <w:t>July 2015</w:t>
            </w:r>
          </w:p>
        </w:tc>
        <w:tc>
          <w:tcPr>
            <w:tcW w:w="1000" w:type="pct"/>
          </w:tcPr>
          <w:p w14:paraId="4ADCCB47"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136F519D"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14B58C47" w14:textId="77777777" w:rsidTr="00E83657">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BD09375"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Extension of the Energy Efficiency Opportunities Program to Transmission and Distribution Networks</w:t>
            </w:r>
          </w:p>
          <w:p w14:paraId="4BB5B38A" w14:textId="77777777" w:rsidR="000A5CFA" w:rsidRPr="00490DCE" w:rsidRDefault="000A5CFA" w:rsidP="00E83657">
            <w:pPr>
              <w:pStyle w:val="body"/>
              <w:rPr>
                <w:rFonts w:ascii="Arial" w:hAnsi="Arial" w:cs="Arial"/>
                <w:color w:val="auto"/>
              </w:rPr>
            </w:pPr>
            <w:r w:rsidRPr="00673FFE">
              <w:rPr>
                <w:rStyle w:val="italic"/>
                <w:rFonts w:ascii="Arial" w:hAnsi="Arial" w:cs="Arial"/>
                <w:i/>
                <w:color w:val="auto"/>
              </w:rPr>
              <w:t>Extension of the Energy Efficiency Opportunities Program to energy transmission and distribution networks</w:t>
            </w:r>
            <w:r w:rsidRPr="00490DCE">
              <w:rPr>
                <w:rStyle w:val="italic"/>
                <w:rFonts w:ascii="Arial" w:hAnsi="Arial" w:cs="Arial"/>
                <w:color w:val="auto"/>
              </w:rPr>
              <w:t>.</w:t>
            </w:r>
          </w:p>
        </w:tc>
      </w:tr>
      <w:tr w:rsidR="000A5CFA" w:rsidRPr="00490DCE" w14:paraId="1A2A4901" w14:textId="77777777" w:rsidTr="00E83657">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3D33CCA" w14:textId="77777777" w:rsidR="000A5CFA" w:rsidRPr="00490DCE" w:rsidRDefault="000A5CFA">
            <w:pPr>
              <w:pStyle w:val="body"/>
              <w:jc w:val="center"/>
              <w:rPr>
                <w:rFonts w:ascii="Arial" w:hAnsi="Arial" w:cs="Arial"/>
                <w:color w:val="auto"/>
              </w:rPr>
            </w:pPr>
            <w:r w:rsidRPr="00490DCE">
              <w:rPr>
                <w:rFonts w:ascii="Arial" w:hAnsi="Arial" w:cs="Arial"/>
                <w:color w:val="auto"/>
              </w:rPr>
              <w:t>Non-compliant</w:t>
            </w:r>
          </w:p>
        </w:tc>
        <w:tc>
          <w:tcPr>
            <w:tcW w:w="1000" w:type="pct"/>
          </w:tcPr>
          <w:p w14:paraId="29CFBF51"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r w:rsidRPr="00490DCE">
              <w:rPr>
                <w:rStyle w:val="super"/>
                <w:rFonts w:cs="Arial"/>
                <w:color w:val="auto"/>
              </w:rPr>
              <w:t>b</w:t>
            </w:r>
          </w:p>
        </w:tc>
        <w:tc>
          <w:tcPr>
            <w:cnfStyle w:val="000010000000" w:firstRow="0" w:lastRow="0" w:firstColumn="0" w:lastColumn="0" w:oddVBand="1" w:evenVBand="0" w:oddHBand="0" w:evenHBand="0" w:firstRowFirstColumn="0" w:firstRowLastColumn="0" w:lastRowFirstColumn="0" w:lastRowLastColumn="0"/>
            <w:tcW w:w="1000" w:type="pct"/>
          </w:tcPr>
          <w:p w14:paraId="21EB472A"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5A15EDB3"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164CC4E5"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633F6D99" w14:textId="77777777" w:rsidR="000A5CFA" w:rsidRPr="00490DCE" w:rsidRDefault="000A5CFA">
      <w:pPr>
        <w:pStyle w:val="body"/>
        <w:rPr>
          <w:rFonts w:ascii="Arial" w:hAnsi="Arial" w:cs="Arial"/>
          <w:color w:val="auto"/>
        </w:rPr>
      </w:pPr>
    </w:p>
    <w:p w14:paraId="135C764E" w14:textId="77777777" w:rsidR="000A5CFA" w:rsidRPr="00490DCE" w:rsidRDefault="000A5CFA" w:rsidP="00E83657">
      <w:pPr>
        <w:pStyle w:val="footnote"/>
        <w:rPr>
          <w:rFonts w:cs="Arial"/>
          <w:color w:val="auto"/>
        </w:rPr>
      </w:pPr>
      <w:proofErr w:type="spellStart"/>
      <w:r w:rsidRPr="00490DCE">
        <w:rPr>
          <w:rStyle w:val="super"/>
          <w:rFonts w:cs="Arial"/>
          <w:color w:val="auto"/>
        </w:rPr>
        <w:t>a</w:t>
      </w:r>
      <w:proofErr w:type="spellEnd"/>
      <w:r w:rsidRPr="00490DCE">
        <w:rPr>
          <w:rFonts w:cs="Arial"/>
          <w:color w:val="auto"/>
        </w:rPr>
        <w:t xml:space="preserve"> On 26 March 2013, the Department of Climate Change and Energy Efficiency was abolished with climate change functions transferred to the new Department of Industry, Innovation, Climate Change, Science, Research and Tertiary Education and energy efficiency functions transferred to the Department of Resources, Energy and Tourism.</w:t>
      </w:r>
    </w:p>
    <w:p w14:paraId="5D333B24" w14:textId="77777777" w:rsidR="000A5CFA" w:rsidRPr="00490DCE" w:rsidRDefault="000A5CFA" w:rsidP="00E83657">
      <w:pPr>
        <w:pStyle w:val="footnote"/>
        <w:rPr>
          <w:rFonts w:cs="Arial"/>
          <w:color w:val="auto"/>
        </w:rPr>
      </w:pPr>
      <w:proofErr w:type="gramStart"/>
      <w:r w:rsidRPr="00490DCE">
        <w:rPr>
          <w:rStyle w:val="super"/>
          <w:rFonts w:cs="Arial"/>
          <w:color w:val="auto"/>
        </w:rPr>
        <w:t>b</w:t>
      </w:r>
      <w:proofErr w:type="gramEnd"/>
      <w:r w:rsidRPr="00490DCE">
        <w:rPr>
          <w:rFonts w:cs="Arial"/>
          <w:color w:val="auto"/>
        </w:rPr>
        <w:t xml:space="preserve"> An implementation RIS for the extension of the Energy Efficiency Opportunities (EEO) program to major new developments and expansion projects was published in 2012–13. This RIS also informed the decision by the Minister for Resources and Energy on 19 June 2013 that the EEO program would not be extended to transmission and distribution networks. As the initial decision will not be implemented, a PIR will no longer be required on this measure.</w:t>
      </w:r>
    </w:p>
    <w:p w14:paraId="1170C5BF" w14:textId="77777777" w:rsidR="000A5CFA" w:rsidRPr="00490DCE" w:rsidRDefault="000A5CFA">
      <w:pPr>
        <w:pStyle w:val="tabletitle"/>
        <w:rPr>
          <w:rFonts w:cs="Arial"/>
        </w:rPr>
      </w:pPr>
      <w:r w:rsidRPr="00490DCE">
        <w:rPr>
          <w:rFonts w:cs="Arial"/>
        </w:rPr>
        <w:t>5.1.17 Sustainability, Environment, Water, Population and Communities</w:t>
      </w:r>
    </w:p>
    <w:tbl>
      <w:tblPr>
        <w:tblStyle w:val="LightList"/>
        <w:tblW w:w="5000" w:type="pct"/>
        <w:tblLook w:val="0020" w:firstRow="1" w:lastRow="0" w:firstColumn="0" w:lastColumn="0" w:noHBand="0" w:noVBand="0"/>
        <w:tblDescription w:val="Post-implementation Review compliance status by agency - Department of Sustainability, Environment, Water, Population and Communities"/>
      </w:tblPr>
      <w:tblGrid>
        <w:gridCol w:w="1969"/>
        <w:gridCol w:w="1969"/>
        <w:gridCol w:w="1970"/>
        <w:gridCol w:w="1970"/>
        <w:gridCol w:w="1970"/>
      </w:tblGrid>
      <w:tr w:rsidR="000A5CFA" w:rsidRPr="00490DCE" w14:paraId="0C80229F"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E5EF8EB"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29F75FE5" w14:textId="77777777" w:rsidTr="0033158E">
        <w:trPr>
          <w:cnfStyle w:val="100000000000" w:firstRow="1" w:lastRow="0" w:firstColumn="0" w:lastColumn="0" w:oddVBand="0" w:evenVBand="0" w:oddHBand="0" w:evenHBand="0" w:firstRowFirstColumn="0" w:firstRowLastColumn="0" w:lastRowFirstColumn="0" w:lastRowLastColumn="0"/>
          <w:trHeight w:val="315"/>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2ABCD9AC"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7CE14F5"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1226A7D1"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7000A54F"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63D2C43A"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27BEE114"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60CD8758"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1EAAFC0D" w14:textId="77777777" w:rsidTr="006D703A">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4806DA9D"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New Fishing Activities of Size and Scale Unprecedented in Commonwealth Marine Areas</w:t>
            </w:r>
          </w:p>
          <w:p w14:paraId="49FD8A2F" w14:textId="77777777" w:rsidR="000A5CFA" w:rsidRPr="00490DCE" w:rsidRDefault="000A5CFA">
            <w:pPr>
              <w:pStyle w:val="body"/>
              <w:rPr>
                <w:rFonts w:ascii="Arial" w:hAnsi="Arial" w:cs="Arial"/>
                <w:color w:val="auto"/>
              </w:rPr>
            </w:pPr>
            <w:r w:rsidRPr="00673FFE">
              <w:rPr>
                <w:rStyle w:val="italic"/>
                <w:rFonts w:ascii="Arial" w:hAnsi="Arial" w:cs="Arial"/>
                <w:i/>
                <w:color w:val="auto"/>
              </w:rPr>
              <w:t>Extension of legislative powers available under the Environment Protection and Biodiversity Conservation Act 1999</w:t>
            </w:r>
            <w:r w:rsidRPr="00490DCE">
              <w:rPr>
                <w:rStyle w:val="italic"/>
                <w:rFonts w:ascii="Arial" w:hAnsi="Arial" w:cs="Arial"/>
                <w:color w:val="auto"/>
              </w:rPr>
              <w:t xml:space="preserve">. </w:t>
            </w:r>
          </w:p>
        </w:tc>
      </w:tr>
      <w:tr w:rsidR="000A5CFA" w:rsidRPr="00490DCE" w14:paraId="673C68BD" w14:textId="77777777" w:rsidTr="006D703A">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094436F"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72EBC274"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September 2012</w:t>
            </w:r>
          </w:p>
        </w:tc>
        <w:tc>
          <w:tcPr>
            <w:cnfStyle w:val="000010000000" w:firstRow="0" w:lastRow="0" w:firstColumn="0" w:lastColumn="0" w:oddVBand="1" w:evenVBand="0" w:oddHBand="0" w:evenHBand="0" w:firstRowFirstColumn="0" w:firstRowLastColumn="0" w:lastRowFirstColumn="0" w:lastRowLastColumn="0"/>
            <w:tcW w:w="1000" w:type="pct"/>
          </w:tcPr>
          <w:p w14:paraId="598FC0C5" w14:textId="77777777" w:rsidR="000A5CFA" w:rsidRPr="00490DCE" w:rsidRDefault="000A5CFA">
            <w:pPr>
              <w:pStyle w:val="body"/>
              <w:jc w:val="center"/>
              <w:rPr>
                <w:rFonts w:ascii="Arial" w:hAnsi="Arial" w:cs="Arial"/>
                <w:color w:val="auto"/>
              </w:rPr>
            </w:pPr>
            <w:r w:rsidRPr="00490DCE">
              <w:rPr>
                <w:rFonts w:ascii="Arial" w:hAnsi="Arial" w:cs="Arial"/>
                <w:color w:val="auto"/>
              </w:rPr>
              <w:t>September 2014</w:t>
            </w:r>
          </w:p>
        </w:tc>
        <w:tc>
          <w:tcPr>
            <w:tcW w:w="1000" w:type="pct"/>
          </w:tcPr>
          <w:p w14:paraId="7AE31D4E"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75E82E12"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r w:rsidR="000A5CFA" w:rsidRPr="00490DCE" w14:paraId="37102134" w14:textId="77777777" w:rsidTr="006D703A">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38B12C6"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 xml:space="preserve">Greater Protection for Water Resources </w:t>
            </w:r>
          </w:p>
          <w:p w14:paraId="595BEFEC" w14:textId="77777777" w:rsidR="000A5CFA" w:rsidRPr="00490DCE" w:rsidRDefault="000A5CFA">
            <w:pPr>
              <w:pStyle w:val="body"/>
              <w:rPr>
                <w:rFonts w:ascii="Arial" w:hAnsi="Arial" w:cs="Arial"/>
                <w:color w:val="auto"/>
              </w:rPr>
            </w:pPr>
            <w:r w:rsidRPr="00673FFE">
              <w:rPr>
                <w:rStyle w:val="italic"/>
                <w:rFonts w:ascii="Arial" w:hAnsi="Arial" w:cs="Arial"/>
                <w:i/>
                <w:color w:val="auto"/>
                <w:spacing w:val="-2"/>
              </w:rPr>
              <w:t>Amending national environmental law to require federal assessment and approval of coal seam gas and large coal mining developments that have a significant impact on a water resource</w:t>
            </w:r>
            <w:r w:rsidRPr="00490DCE">
              <w:rPr>
                <w:rStyle w:val="italic"/>
                <w:rFonts w:ascii="Arial" w:hAnsi="Arial" w:cs="Arial"/>
                <w:color w:val="auto"/>
                <w:spacing w:val="-2"/>
              </w:rPr>
              <w:t xml:space="preserve">. </w:t>
            </w:r>
          </w:p>
        </w:tc>
      </w:tr>
      <w:tr w:rsidR="000A5CFA" w:rsidRPr="00490DCE" w14:paraId="51F03842" w14:textId="77777777" w:rsidTr="006D703A">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0D69406"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42F94C46"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June 2013</w:t>
            </w:r>
          </w:p>
        </w:tc>
        <w:tc>
          <w:tcPr>
            <w:cnfStyle w:val="000010000000" w:firstRow="0" w:lastRow="0" w:firstColumn="0" w:lastColumn="0" w:oddVBand="1" w:evenVBand="0" w:oddHBand="0" w:evenHBand="0" w:firstRowFirstColumn="0" w:firstRowLastColumn="0" w:lastRowFirstColumn="0" w:lastRowLastColumn="0"/>
            <w:tcW w:w="1000" w:type="pct"/>
          </w:tcPr>
          <w:p w14:paraId="70EFE5B5" w14:textId="77777777" w:rsidR="000A5CFA" w:rsidRPr="00490DCE" w:rsidRDefault="000A5CFA">
            <w:pPr>
              <w:pStyle w:val="body"/>
              <w:jc w:val="center"/>
              <w:rPr>
                <w:rFonts w:ascii="Arial" w:hAnsi="Arial" w:cs="Arial"/>
                <w:color w:val="auto"/>
              </w:rPr>
            </w:pPr>
            <w:r w:rsidRPr="00490DCE">
              <w:rPr>
                <w:rFonts w:ascii="Arial" w:hAnsi="Arial" w:cs="Arial"/>
                <w:color w:val="auto"/>
              </w:rPr>
              <w:t>June 2015</w:t>
            </w:r>
          </w:p>
        </w:tc>
        <w:tc>
          <w:tcPr>
            <w:tcW w:w="1000" w:type="pct"/>
          </w:tcPr>
          <w:p w14:paraId="3E4C329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0C3E6D35"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07AB2A0D" w14:textId="77777777" w:rsidR="000A5CFA" w:rsidRPr="00490DCE" w:rsidRDefault="000A5CFA">
      <w:pPr>
        <w:pStyle w:val="body"/>
        <w:rPr>
          <w:rFonts w:ascii="Arial" w:hAnsi="Arial" w:cs="Arial"/>
          <w:color w:val="auto"/>
        </w:rPr>
      </w:pPr>
    </w:p>
    <w:p w14:paraId="4C78E1AE" w14:textId="77777777" w:rsidR="000A5CFA" w:rsidRPr="00490DCE" w:rsidRDefault="000A5CFA" w:rsidP="006D703A">
      <w:pPr>
        <w:pStyle w:val="footnote"/>
        <w:rPr>
          <w:rFonts w:cs="Arial"/>
          <w:color w:val="auto"/>
        </w:rPr>
      </w:pPr>
      <w:r w:rsidRPr="00490DCE">
        <w:rPr>
          <w:rFonts w:cs="Arial"/>
          <w:color w:val="auto"/>
        </w:rPr>
        <w:t>E/c Exceptional circumstances were granted by the Prime Minister</w:t>
      </w:r>
    </w:p>
    <w:p w14:paraId="5476A973" w14:textId="77777777" w:rsidR="000A5CFA" w:rsidRPr="00490DCE" w:rsidRDefault="000A5CFA">
      <w:pPr>
        <w:pStyle w:val="tabletitle"/>
        <w:rPr>
          <w:rFonts w:cs="Arial"/>
        </w:rPr>
      </w:pPr>
    </w:p>
    <w:p w14:paraId="674F876D" w14:textId="77777777" w:rsidR="000A5CFA" w:rsidRPr="00490DCE" w:rsidRDefault="006D703A">
      <w:pPr>
        <w:pStyle w:val="tabletitle"/>
        <w:rPr>
          <w:rFonts w:cs="Arial"/>
        </w:rPr>
      </w:pPr>
      <w:r w:rsidRPr="00490DCE">
        <w:rPr>
          <w:rFonts w:cs="Arial"/>
        </w:rPr>
        <w:br w:type="page"/>
      </w:r>
      <w:r w:rsidR="000A5CFA" w:rsidRPr="00490DCE">
        <w:rPr>
          <w:rFonts w:cs="Arial"/>
        </w:rPr>
        <w:lastRenderedPageBreak/>
        <w:t>5.1.18 Treasury</w:t>
      </w:r>
    </w:p>
    <w:tbl>
      <w:tblPr>
        <w:tblStyle w:val="LightList"/>
        <w:tblW w:w="5000" w:type="pct"/>
        <w:tblLook w:val="0020" w:firstRow="1" w:lastRow="0" w:firstColumn="0" w:lastColumn="0" w:noHBand="0" w:noVBand="0"/>
        <w:tblDescription w:val="Post-implementation Review compliance status by agency - Department of the Treasury"/>
      </w:tblPr>
      <w:tblGrid>
        <w:gridCol w:w="1969"/>
        <w:gridCol w:w="1969"/>
        <w:gridCol w:w="1970"/>
        <w:gridCol w:w="1970"/>
        <w:gridCol w:w="1970"/>
      </w:tblGrid>
      <w:tr w:rsidR="0033158E" w:rsidRPr="00490DCE" w14:paraId="1E424118"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E33A4B2" w14:textId="53D8DD29" w:rsidR="0033158E" w:rsidRDefault="0033158E"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33158E" w:rsidRPr="00490DCE" w14:paraId="0875C237"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4A10FAE3" w14:textId="41A94842" w:rsidR="0033158E" w:rsidRPr="0033158E" w:rsidRDefault="0033158E" w:rsidP="00807131">
            <w:pPr>
              <w:pStyle w:val="tablehead"/>
              <w:outlineLvl w:val="3"/>
              <w:rPr>
                <w:rFonts w:ascii="Arial" w:hAnsi="Arial" w:cs="Arial"/>
                <w:b w:val="0"/>
                <w:color w:val="auto"/>
              </w:rPr>
            </w:pPr>
            <w:r w:rsidRPr="0033158E">
              <w:rPr>
                <w:rStyle w:val="italic"/>
                <w:rFonts w:ascii="Arial" w:hAnsi="Arial" w:cs="Arial"/>
                <w:b w:val="0"/>
                <w:i/>
                <w:color w:val="auto"/>
              </w:rPr>
              <w:t>Description of regulatory proposal</w:t>
            </w:r>
          </w:p>
        </w:tc>
      </w:tr>
      <w:tr w:rsidR="0033158E" w:rsidRPr="00490DCE" w14:paraId="5BAD343B" w14:textId="77777777" w:rsidTr="00913ADF">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1000" w:type="pct"/>
          </w:tcPr>
          <w:p w14:paraId="67EF8ECA" w14:textId="3B08246F" w:rsidR="0033158E" w:rsidRPr="0033158E" w:rsidRDefault="0033158E" w:rsidP="00807131">
            <w:pPr>
              <w:pStyle w:val="tablehead"/>
              <w:outlineLvl w:val="3"/>
              <w:rPr>
                <w:rStyle w:val="bold"/>
                <w:rFonts w:ascii="Arial" w:hAnsi="Arial" w:cs="Arial"/>
                <w:b w:val="0"/>
                <w:bCs w:val="0"/>
                <w:color w:val="auto"/>
              </w:rPr>
            </w:pPr>
            <w:r w:rsidRPr="0033158E">
              <w:rPr>
                <w:rFonts w:ascii="Arial" w:hAnsi="Arial" w:cs="Arial"/>
                <w:b w:val="0"/>
                <w:color w:val="auto"/>
              </w:rPr>
              <w:t>Reason for PIR</w:t>
            </w:r>
          </w:p>
        </w:tc>
        <w:tc>
          <w:tcPr>
            <w:tcW w:w="1000" w:type="pct"/>
          </w:tcPr>
          <w:p w14:paraId="2E99EC9A" w14:textId="09F631CB" w:rsidR="0033158E" w:rsidRPr="0033158E" w:rsidRDefault="0033158E"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621695ED" w14:textId="018B92A3" w:rsidR="0033158E" w:rsidRPr="0033158E" w:rsidRDefault="0033158E" w:rsidP="00807131">
            <w:pPr>
              <w:pStyle w:val="tablehead"/>
              <w:jc w:val="center"/>
              <w:outlineLvl w:val="3"/>
              <w:rPr>
                <w:rFonts w:ascii="Arial" w:hAnsi="Arial" w:cs="Arial"/>
                <w:b w:val="0"/>
                <w:bCs w:val="0"/>
                <w:color w:val="auto"/>
              </w:rPr>
            </w:pPr>
            <w:r w:rsidRPr="0033158E">
              <w:rPr>
                <w:rFonts w:ascii="Arial" w:hAnsi="Arial" w:cs="Arial"/>
                <w:b w:val="0"/>
                <w:color w:val="auto"/>
              </w:rPr>
              <w:t>Date PIR to commence</w:t>
            </w:r>
          </w:p>
        </w:tc>
        <w:tc>
          <w:tcPr>
            <w:tcW w:w="1000" w:type="pct"/>
          </w:tcPr>
          <w:p w14:paraId="178297F7" w14:textId="2895C78E" w:rsidR="0033158E" w:rsidRPr="0033158E" w:rsidRDefault="0033158E"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0" w:type="pct"/>
          </w:tcPr>
          <w:p w14:paraId="710B5AF4" w14:textId="6F6F3FFA" w:rsidR="0033158E" w:rsidRPr="0033158E" w:rsidRDefault="0033158E" w:rsidP="00807131">
            <w:pPr>
              <w:pStyle w:val="tablehead"/>
              <w:outlineLvl w:val="3"/>
              <w:rPr>
                <w:rFonts w:ascii="Arial" w:hAnsi="Arial" w:cs="Arial"/>
                <w:b w:val="0"/>
                <w:color w:val="auto"/>
              </w:rPr>
            </w:pPr>
            <w:r w:rsidRPr="0033158E">
              <w:rPr>
                <w:rFonts w:ascii="Arial" w:hAnsi="Arial" w:cs="Arial"/>
                <w:b w:val="0"/>
                <w:color w:val="auto"/>
              </w:rPr>
              <w:t>PIR compliance</w:t>
            </w:r>
          </w:p>
        </w:tc>
      </w:tr>
      <w:tr w:rsidR="004C31D9" w:rsidRPr="00490DCE" w14:paraId="1804A3E8" w14:textId="77777777" w:rsidTr="00775ABB">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1A465750"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Guarantee Scheme for Large Deposits and Wholesale Funding Appropriation Act 2008</w:t>
            </w:r>
          </w:p>
          <w:p w14:paraId="17905B20" w14:textId="77777777" w:rsidR="004C31D9" w:rsidRPr="00490DCE" w:rsidRDefault="004C31D9">
            <w:pPr>
              <w:pStyle w:val="body"/>
              <w:rPr>
                <w:rFonts w:ascii="Arial" w:hAnsi="Arial" w:cs="Arial"/>
                <w:color w:val="auto"/>
              </w:rPr>
            </w:pPr>
            <w:r w:rsidRPr="00673FFE">
              <w:rPr>
                <w:rStyle w:val="italic"/>
                <w:rFonts w:ascii="Arial" w:hAnsi="Arial" w:cs="Arial"/>
                <w:i/>
                <w:color w:val="auto"/>
              </w:rPr>
              <w:t>Temporary emergency arrangement providing a guarantee for deposits over $1 million and wholesale debt in exchange for a fee. The initiative closed to new liabilities on 31 March 2010</w:t>
            </w:r>
            <w:r w:rsidRPr="00490DCE">
              <w:rPr>
                <w:rStyle w:val="italic"/>
                <w:rFonts w:ascii="Arial" w:hAnsi="Arial" w:cs="Arial"/>
                <w:color w:val="auto"/>
              </w:rPr>
              <w:t>.</w:t>
            </w:r>
          </w:p>
        </w:tc>
      </w:tr>
      <w:tr w:rsidR="004C31D9" w:rsidRPr="00490DCE" w14:paraId="1A1BBF7F"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510C77D"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6FC1AF78"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October </w:t>
            </w:r>
            <w:r w:rsidRPr="00490DCE">
              <w:rPr>
                <w:rFonts w:ascii="Arial" w:hAnsi="Arial" w:cs="Arial"/>
                <w:color w:val="auto"/>
              </w:rPr>
              <w:br/>
              <w:t>2008</w:t>
            </w:r>
          </w:p>
        </w:tc>
        <w:tc>
          <w:tcPr>
            <w:cnfStyle w:val="000010000000" w:firstRow="0" w:lastRow="0" w:firstColumn="0" w:lastColumn="0" w:oddVBand="1" w:evenVBand="0" w:oddHBand="0" w:evenHBand="0" w:firstRowFirstColumn="0" w:firstRowLastColumn="0" w:lastRowFirstColumn="0" w:lastRowLastColumn="0"/>
            <w:tcW w:w="1000" w:type="pct"/>
          </w:tcPr>
          <w:p w14:paraId="74757D1C" w14:textId="77777777" w:rsidR="004C31D9" w:rsidRPr="00490DCE" w:rsidRDefault="004C31D9">
            <w:pPr>
              <w:pStyle w:val="body"/>
              <w:jc w:val="center"/>
              <w:rPr>
                <w:rFonts w:ascii="Arial" w:hAnsi="Arial" w:cs="Arial"/>
                <w:color w:val="auto"/>
              </w:rPr>
            </w:pPr>
            <w:r w:rsidRPr="00490DCE">
              <w:rPr>
                <w:rFonts w:ascii="Arial" w:hAnsi="Arial" w:cs="Arial"/>
                <w:color w:val="auto"/>
              </w:rPr>
              <w:t>October 2010</w:t>
            </w:r>
          </w:p>
        </w:tc>
        <w:tc>
          <w:tcPr>
            <w:tcW w:w="1000" w:type="pct"/>
          </w:tcPr>
          <w:p w14:paraId="5A4D986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6DDB88CB"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03C283C7"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58E2668"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 xml:space="preserve"> Financial Claims Scheme (General Insurers) Levy Bill 2008</w:t>
            </w:r>
          </w:p>
          <w:p w14:paraId="29643142" w14:textId="77777777" w:rsidR="004C31D9" w:rsidRPr="00490DCE" w:rsidRDefault="004C31D9">
            <w:pPr>
              <w:pStyle w:val="body"/>
              <w:rPr>
                <w:rFonts w:ascii="Arial" w:hAnsi="Arial" w:cs="Arial"/>
                <w:color w:val="auto"/>
              </w:rPr>
            </w:pPr>
            <w:r w:rsidRPr="00673FFE">
              <w:rPr>
                <w:rStyle w:val="italic"/>
                <w:rFonts w:ascii="Arial" w:hAnsi="Arial" w:cs="Arial"/>
                <w:i/>
                <w:color w:val="auto"/>
              </w:rPr>
              <w:t>Provides for the imposition of a levy on general insurers in the event of the activation of the Financial Claims Scheme</w:t>
            </w:r>
            <w:r w:rsidRPr="00490DCE">
              <w:rPr>
                <w:rStyle w:val="italic"/>
                <w:rFonts w:ascii="Arial" w:hAnsi="Arial" w:cs="Arial"/>
                <w:color w:val="auto"/>
              </w:rPr>
              <w:t>.</w:t>
            </w:r>
          </w:p>
        </w:tc>
      </w:tr>
      <w:tr w:rsidR="004C31D9" w:rsidRPr="00490DCE" w14:paraId="1392D824"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584611C1"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1323F641"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October 2008</w:t>
            </w:r>
          </w:p>
        </w:tc>
        <w:tc>
          <w:tcPr>
            <w:cnfStyle w:val="000010000000" w:firstRow="0" w:lastRow="0" w:firstColumn="0" w:lastColumn="0" w:oddVBand="1" w:evenVBand="0" w:oddHBand="0" w:evenHBand="0" w:firstRowFirstColumn="0" w:firstRowLastColumn="0" w:lastRowFirstColumn="0" w:lastRowLastColumn="0"/>
            <w:tcW w:w="1000" w:type="pct"/>
          </w:tcPr>
          <w:p w14:paraId="65AAC69F" w14:textId="77777777" w:rsidR="004C31D9" w:rsidRPr="00490DCE" w:rsidRDefault="004C31D9">
            <w:pPr>
              <w:pStyle w:val="body"/>
              <w:jc w:val="center"/>
              <w:rPr>
                <w:rFonts w:ascii="Arial" w:hAnsi="Arial" w:cs="Arial"/>
                <w:color w:val="auto"/>
              </w:rPr>
            </w:pPr>
            <w:r w:rsidRPr="00490DCE">
              <w:rPr>
                <w:rFonts w:ascii="Arial" w:hAnsi="Arial" w:cs="Arial"/>
                <w:color w:val="auto"/>
              </w:rPr>
              <w:t>October 2010</w:t>
            </w:r>
          </w:p>
        </w:tc>
        <w:tc>
          <w:tcPr>
            <w:tcW w:w="1000" w:type="pct"/>
          </w:tcPr>
          <w:p w14:paraId="6392A5A4"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Completed Published </w:t>
            </w:r>
          </w:p>
        </w:tc>
        <w:tc>
          <w:tcPr>
            <w:cnfStyle w:val="000010000000" w:firstRow="0" w:lastRow="0" w:firstColumn="0" w:lastColumn="0" w:oddVBand="1" w:evenVBand="0" w:oddHBand="0" w:evenHBand="0" w:firstRowFirstColumn="0" w:firstRowLastColumn="0" w:lastRowFirstColumn="0" w:lastRowLastColumn="0"/>
            <w:tcW w:w="1000" w:type="pct"/>
          </w:tcPr>
          <w:p w14:paraId="0BE9634A"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788E2009"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37A90C8"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Tax Laws Amendment (2009 Budget Measures No. 1) Bill 2009</w:t>
            </w:r>
          </w:p>
          <w:p w14:paraId="101108E0" w14:textId="77777777" w:rsidR="004C31D9" w:rsidRPr="00490DCE" w:rsidRDefault="004C31D9">
            <w:pPr>
              <w:pStyle w:val="body"/>
              <w:rPr>
                <w:rFonts w:ascii="Arial" w:hAnsi="Arial" w:cs="Arial"/>
                <w:color w:val="auto"/>
              </w:rPr>
            </w:pPr>
            <w:r w:rsidRPr="00673FFE">
              <w:rPr>
                <w:rStyle w:val="italic"/>
                <w:rFonts w:ascii="Arial" w:hAnsi="Arial" w:cs="Arial"/>
                <w:i/>
                <w:color w:val="auto"/>
              </w:rPr>
              <w:t>Limits tax concessions for income earned by Australians working overseas</w:t>
            </w:r>
            <w:r w:rsidRPr="00490DCE">
              <w:rPr>
                <w:rStyle w:val="italic"/>
                <w:rFonts w:ascii="Arial" w:hAnsi="Arial" w:cs="Arial"/>
                <w:color w:val="auto"/>
              </w:rPr>
              <w:t>.</w:t>
            </w:r>
          </w:p>
        </w:tc>
      </w:tr>
      <w:tr w:rsidR="004C31D9" w:rsidRPr="00490DCE" w14:paraId="4E7956B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F6FEEFA"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042FFAD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2009</w:t>
            </w:r>
          </w:p>
        </w:tc>
        <w:tc>
          <w:tcPr>
            <w:cnfStyle w:val="000010000000" w:firstRow="0" w:lastRow="0" w:firstColumn="0" w:lastColumn="0" w:oddVBand="1" w:evenVBand="0" w:oddHBand="0" w:evenHBand="0" w:firstRowFirstColumn="0" w:firstRowLastColumn="0" w:lastRowFirstColumn="0" w:lastRowLastColumn="0"/>
            <w:tcW w:w="1000" w:type="pct"/>
          </w:tcPr>
          <w:p w14:paraId="3FB5B921" w14:textId="77777777" w:rsidR="004C31D9" w:rsidRPr="00490DCE" w:rsidRDefault="004C31D9">
            <w:pPr>
              <w:pStyle w:val="body"/>
              <w:jc w:val="center"/>
              <w:rPr>
                <w:rFonts w:ascii="Arial" w:hAnsi="Arial" w:cs="Arial"/>
                <w:color w:val="auto"/>
              </w:rPr>
            </w:pPr>
            <w:r w:rsidRPr="00490DCE">
              <w:rPr>
                <w:rFonts w:ascii="Arial" w:hAnsi="Arial" w:cs="Arial"/>
                <w:color w:val="auto"/>
              </w:rPr>
              <w:t>July 2011</w:t>
            </w:r>
          </w:p>
        </w:tc>
        <w:tc>
          <w:tcPr>
            <w:tcW w:w="1000" w:type="pct"/>
          </w:tcPr>
          <w:p w14:paraId="398C105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Complete </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4D5B9BEB"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635C82E7"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FFFB9B7"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Tax Laws Amendment (2009 Budget Measures No. 2) Bill 2009</w:t>
            </w:r>
          </w:p>
          <w:p w14:paraId="30846D29" w14:textId="77777777" w:rsidR="004C31D9" w:rsidRPr="00490DCE" w:rsidRDefault="004C31D9">
            <w:pPr>
              <w:pStyle w:val="body"/>
              <w:rPr>
                <w:rFonts w:ascii="Arial" w:hAnsi="Arial" w:cs="Arial"/>
                <w:color w:val="auto"/>
              </w:rPr>
            </w:pPr>
            <w:r w:rsidRPr="00673FFE">
              <w:rPr>
                <w:rStyle w:val="italic"/>
                <w:rFonts w:ascii="Arial" w:hAnsi="Arial" w:cs="Arial"/>
                <w:i/>
                <w:color w:val="auto"/>
              </w:rPr>
              <w:t>No longer allowing offsetting deductions from non-commercial activities for high income earners</w:t>
            </w:r>
            <w:r w:rsidRPr="00490DCE">
              <w:rPr>
                <w:rStyle w:val="italic"/>
                <w:rFonts w:ascii="Arial" w:hAnsi="Arial" w:cs="Arial"/>
                <w:color w:val="auto"/>
              </w:rPr>
              <w:t>.</w:t>
            </w:r>
          </w:p>
        </w:tc>
      </w:tr>
      <w:tr w:rsidR="004C31D9" w:rsidRPr="00490DCE" w14:paraId="1A963EDF"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F16BCEB"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565A7DE1"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2009</w:t>
            </w:r>
          </w:p>
        </w:tc>
        <w:tc>
          <w:tcPr>
            <w:cnfStyle w:val="000010000000" w:firstRow="0" w:lastRow="0" w:firstColumn="0" w:lastColumn="0" w:oddVBand="1" w:evenVBand="0" w:oddHBand="0" w:evenHBand="0" w:firstRowFirstColumn="0" w:firstRowLastColumn="0" w:lastRowFirstColumn="0" w:lastRowLastColumn="0"/>
            <w:tcW w:w="1000" w:type="pct"/>
          </w:tcPr>
          <w:p w14:paraId="689BF9FA" w14:textId="77777777" w:rsidR="004C31D9" w:rsidRPr="00490DCE" w:rsidRDefault="004C31D9">
            <w:pPr>
              <w:pStyle w:val="body"/>
              <w:jc w:val="center"/>
              <w:rPr>
                <w:rFonts w:ascii="Arial" w:hAnsi="Arial" w:cs="Arial"/>
                <w:color w:val="auto"/>
              </w:rPr>
            </w:pPr>
            <w:r w:rsidRPr="00490DCE">
              <w:rPr>
                <w:rFonts w:ascii="Arial" w:hAnsi="Arial" w:cs="Arial"/>
                <w:color w:val="auto"/>
              </w:rPr>
              <w:t>July 2011</w:t>
            </w:r>
          </w:p>
        </w:tc>
        <w:tc>
          <w:tcPr>
            <w:tcW w:w="1000" w:type="pct"/>
          </w:tcPr>
          <w:p w14:paraId="42D1D279"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Complete </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06843FF5"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64E4BF76"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0F6B294"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Trade Practices (Industry Codes – Unit Pricing) Regulations 2009</w:t>
            </w:r>
          </w:p>
          <w:p w14:paraId="632D88C4" w14:textId="77777777" w:rsidR="004C31D9" w:rsidRPr="00490DCE" w:rsidRDefault="004C31D9">
            <w:pPr>
              <w:pStyle w:val="body"/>
              <w:rPr>
                <w:rFonts w:ascii="Arial" w:hAnsi="Arial" w:cs="Arial"/>
                <w:color w:val="auto"/>
              </w:rPr>
            </w:pPr>
            <w:r w:rsidRPr="00673FFE">
              <w:rPr>
                <w:rStyle w:val="italic"/>
                <w:rFonts w:ascii="Arial" w:hAnsi="Arial" w:cs="Arial"/>
                <w:i/>
                <w:color w:val="auto"/>
              </w:rPr>
              <w:t>Mandatory industry code for the retail grocery industry – display of unit prices for grocery items for which selling prices are displayed</w:t>
            </w:r>
            <w:r w:rsidRPr="00490DCE">
              <w:rPr>
                <w:rStyle w:val="italic"/>
                <w:rFonts w:ascii="Arial" w:hAnsi="Arial" w:cs="Arial"/>
                <w:color w:val="auto"/>
              </w:rPr>
              <w:t>.</w:t>
            </w:r>
          </w:p>
        </w:tc>
      </w:tr>
      <w:tr w:rsidR="004C31D9" w:rsidRPr="00490DCE" w14:paraId="6A9F7107"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692002A"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1A1D0D1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November 2009</w:t>
            </w:r>
          </w:p>
        </w:tc>
        <w:tc>
          <w:tcPr>
            <w:cnfStyle w:val="000010000000" w:firstRow="0" w:lastRow="0" w:firstColumn="0" w:lastColumn="0" w:oddVBand="1" w:evenVBand="0" w:oddHBand="0" w:evenHBand="0" w:firstRowFirstColumn="0" w:firstRowLastColumn="0" w:lastRowFirstColumn="0" w:lastRowLastColumn="0"/>
            <w:tcW w:w="1000" w:type="pct"/>
          </w:tcPr>
          <w:p w14:paraId="678D2B23" w14:textId="77777777" w:rsidR="004C31D9" w:rsidRPr="00490DCE" w:rsidRDefault="004C31D9">
            <w:pPr>
              <w:pStyle w:val="body"/>
              <w:jc w:val="center"/>
              <w:rPr>
                <w:rFonts w:ascii="Arial" w:hAnsi="Arial" w:cs="Arial"/>
                <w:color w:val="auto"/>
              </w:rPr>
            </w:pPr>
            <w:r w:rsidRPr="00490DCE">
              <w:rPr>
                <w:rFonts w:ascii="Arial" w:hAnsi="Arial" w:cs="Arial"/>
                <w:color w:val="auto"/>
              </w:rPr>
              <w:t>November 2011</w:t>
            </w:r>
          </w:p>
        </w:tc>
        <w:tc>
          <w:tcPr>
            <w:tcW w:w="1000" w:type="pct"/>
          </w:tcPr>
          <w:p w14:paraId="2DBCC57E"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3DF13C34"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36AEC811"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1C00718"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Corporations Amendment (Improving Accountability on Termination Payments) Bill 2009</w:t>
            </w:r>
          </w:p>
          <w:p w14:paraId="3EDCC643" w14:textId="77777777" w:rsidR="004C31D9" w:rsidRPr="00490DCE" w:rsidRDefault="004C31D9">
            <w:pPr>
              <w:pStyle w:val="body"/>
              <w:rPr>
                <w:rFonts w:ascii="Arial" w:hAnsi="Arial" w:cs="Arial"/>
                <w:color w:val="auto"/>
              </w:rPr>
            </w:pPr>
            <w:r w:rsidRPr="00673FFE">
              <w:rPr>
                <w:rStyle w:val="italic"/>
                <w:rFonts w:ascii="Arial" w:hAnsi="Arial" w:cs="Arial"/>
                <w:i/>
                <w:color w:val="auto"/>
              </w:rPr>
              <w:t>Reforms to regulatory framework dealing with payment of termination benefits to company directors and executives</w:t>
            </w:r>
            <w:r w:rsidRPr="00490DCE">
              <w:rPr>
                <w:rStyle w:val="italic"/>
                <w:rFonts w:ascii="Arial" w:hAnsi="Arial" w:cs="Arial"/>
                <w:color w:val="auto"/>
              </w:rPr>
              <w:t>.</w:t>
            </w:r>
          </w:p>
        </w:tc>
      </w:tr>
      <w:tr w:rsidR="004C31D9" w:rsidRPr="00490DCE" w14:paraId="5241D62A"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A3E08D8"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68E62A0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November 2009</w:t>
            </w:r>
          </w:p>
        </w:tc>
        <w:tc>
          <w:tcPr>
            <w:cnfStyle w:val="000010000000" w:firstRow="0" w:lastRow="0" w:firstColumn="0" w:lastColumn="0" w:oddVBand="1" w:evenVBand="0" w:oddHBand="0" w:evenHBand="0" w:firstRowFirstColumn="0" w:firstRowLastColumn="0" w:lastRowFirstColumn="0" w:lastRowLastColumn="0"/>
            <w:tcW w:w="1000" w:type="pct"/>
          </w:tcPr>
          <w:p w14:paraId="60E7F78F" w14:textId="77777777" w:rsidR="004C31D9" w:rsidRPr="00490DCE" w:rsidRDefault="004C31D9">
            <w:pPr>
              <w:pStyle w:val="body"/>
              <w:jc w:val="center"/>
              <w:rPr>
                <w:rFonts w:ascii="Arial" w:hAnsi="Arial" w:cs="Arial"/>
                <w:color w:val="auto"/>
              </w:rPr>
            </w:pPr>
            <w:r w:rsidRPr="00490DCE">
              <w:rPr>
                <w:rFonts w:ascii="Arial" w:hAnsi="Arial" w:cs="Arial"/>
                <w:color w:val="auto"/>
              </w:rPr>
              <w:t>November 2011</w:t>
            </w:r>
          </w:p>
        </w:tc>
        <w:tc>
          <w:tcPr>
            <w:tcW w:w="1000" w:type="pct"/>
          </w:tcPr>
          <w:p w14:paraId="3E1103B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2DC74F81"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r>
      <w:tr w:rsidR="004C31D9" w:rsidRPr="00490DCE" w14:paraId="653F04E3"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2C1DBFB"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Tax Laws Amendment (2009 Budget Measures No. 2) Bill 2009 &amp; Income Tax (TFN Withholding Tax (ESS)) Bill 2009</w:t>
            </w:r>
          </w:p>
          <w:p w14:paraId="2220F40B" w14:textId="77777777" w:rsidR="004C31D9" w:rsidRPr="00490DCE" w:rsidRDefault="004C31D9">
            <w:pPr>
              <w:pStyle w:val="body"/>
              <w:rPr>
                <w:rFonts w:ascii="Arial" w:hAnsi="Arial" w:cs="Arial"/>
                <w:color w:val="auto"/>
              </w:rPr>
            </w:pPr>
            <w:r w:rsidRPr="00673FFE">
              <w:rPr>
                <w:rStyle w:val="italic"/>
                <w:rFonts w:ascii="Arial" w:hAnsi="Arial" w:cs="Arial"/>
                <w:i/>
                <w:color w:val="auto"/>
              </w:rPr>
              <w:t>Reforming taxation of employee share schemes</w:t>
            </w:r>
            <w:r w:rsidRPr="00490DCE">
              <w:rPr>
                <w:rStyle w:val="italic"/>
                <w:rFonts w:ascii="Arial" w:hAnsi="Arial" w:cs="Arial"/>
                <w:color w:val="auto"/>
              </w:rPr>
              <w:t>.</w:t>
            </w:r>
          </w:p>
        </w:tc>
      </w:tr>
      <w:tr w:rsidR="004C31D9" w:rsidRPr="00490DCE" w14:paraId="6015D264"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DAB6FD3"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74EDD90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December 2009</w:t>
            </w:r>
          </w:p>
        </w:tc>
        <w:tc>
          <w:tcPr>
            <w:cnfStyle w:val="000010000000" w:firstRow="0" w:lastRow="0" w:firstColumn="0" w:lastColumn="0" w:oddVBand="1" w:evenVBand="0" w:oddHBand="0" w:evenHBand="0" w:firstRowFirstColumn="0" w:firstRowLastColumn="0" w:lastRowFirstColumn="0" w:lastRowLastColumn="0"/>
            <w:tcW w:w="1000" w:type="pct"/>
          </w:tcPr>
          <w:p w14:paraId="63ACBB09" w14:textId="77777777" w:rsidR="004C31D9" w:rsidRPr="00490DCE" w:rsidRDefault="004C31D9">
            <w:pPr>
              <w:pStyle w:val="body"/>
              <w:jc w:val="center"/>
              <w:rPr>
                <w:rFonts w:ascii="Arial" w:hAnsi="Arial" w:cs="Arial"/>
                <w:color w:val="auto"/>
              </w:rPr>
            </w:pPr>
            <w:r w:rsidRPr="00490DCE">
              <w:rPr>
                <w:rFonts w:ascii="Arial" w:hAnsi="Arial" w:cs="Arial"/>
                <w:color w:val="auto"/>
              </w:rPr>
              <w:t>December 2012</w:t>
            </w:r>
          </w:p>
        </w:tc>
        <w:tc>
          <w:tcPr>
            <w:tcW w:w="1000" w:type="pct"/>
          </w:tcPr>
          <w:p w14:paraId="74903716"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5B9E39A2"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2151E723"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0353EAA"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Foreign Acquisitions and Takeovers Amendment Bill 2009</w:t>
            </w:r>
          </w:p>
          <w:p w14:paraId="55B1CEA8" w14:textId="77777777" w:rsidR="004C31D9" w:rsidRPr="00490DCE" w:rsidRDefault="004C31D9">
            <w:pPr>
              <w:pStyle w:val="body"/>
              <w:rPr>
                <w:rFonts w:ascii="Arial" w:hAnsi="Arial" w:cs="Arial"/>
                <w:color w:val="auto"/>
              </w:rPr>
            </w:pPr>
            <w:r w:rsidRPr="00673FFE">
              <w:rPr>
                <w:rStyle w:val="italic"/>
                <w:rFonts w:ascii="Arial" w:hAnsi="Arial" w:cs="Arial"/>
                <w:i/>
                <w:color w:val="auto"/>
              </w:rPr>
              <w:t>Ensure that any foreign investment irrespective of the way it is structured is treated equally under the Foreign Acquisitions and Takeovers Act</w:t>
            </w:r>
            <w:r w:rsidRPr="00490DCE">
              <w:rPr>
                <w:rStyle w:val="italic"/>
                <w:rFonts w:ascii="Arial" w:hAnsi="Arial" w:cs="Arial"/>
                <w:color w:val="auto"/>
              </w:rPr>
              <w:t>.</w:t>
            </w:r>
          </w:p>
        </w:tc>
      </w:tr>
      <w:tr w:rsidR="004C31D9" w:rsidRPr="00490DCE" w14:paraId="423C9F2F"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5E1CF6F7"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183B45F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February 2010</w:t>
            </w:r>
          </w:p>
        </w:tc>
        <w:tc>
          <w:tcPr>
            <w:cnfStyle w:val="000010000000" w:firstRow="0" w:lastRow="0" w:firstColumn="0" w:lastColumn="0" w:oddVBand="1" w:evenVBand="0" w:oddHBand="0" w:evenHBand="0" w:firstRowFirstColumn="0" w:firstRowLastColumn="0" w:lastRowFirstColumn="0" w:lastRowLastColumn="0"/>
            <w:tcW w:w="1000" w:type="pct"/>
          </w:tcPr>
          <w:p w14:paraId="34F8AFBC" w14:textId="77777777" w:rsidR="004C31D9" w:rsidRPr="00490DCE" w:rsidRDefault="004C31D9">
            <w:pPr>
              <w:pStyle w:val="body"/>
              <w:jc w:val="center"/>
              <w:rPr>
                <w:rFonts w:ascii="Arial" w:hAnsi="Arial" w:cs="Arial"/>
                <w:color w:val="auto"/>
              </w:rPr>
            </w:pPr>
            <w:r w:rsidRPr="00490DCE">
              <w:rPr>
                <w:rFonts w:ascii="Arial" w:hAnsi="Arial" w:cs="Arial"/>
                <w:color w:val="auto"/>
              </w:rPr>
              <w:t>February 2012</w:t>
            </w:r>
          </w:p>
        </w:tc>
        <w:tc>
          <w:tcPr>
            <w:tcW w:w="1000" w:type="pct"/>
          </w:tcPr>
          <w:p w14:paraId="437A9B4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51A501A3"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0AB102B3"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AB3A72A" w14:textId="77777777" w:rsidR="004C31D9" w:rsidRPr="00673FFE" w:rsidRDefault="004C31D9">
            <w:pPr>
              <w:pStyle w:val="body"/>
              <w:rPr>
                <w:rStyle w:val="bold"/>
                <w:rFonts w:ascii="Arial" w:hAnsi="Arial" w:cs="Arial"/>
                <w:b/>
                <w:color w:val="auto"/>
                <w:spacing w:val="-2"/>
              </w:rPr>
            </w:pPr>
            <w:r w:rsidRPr="00673FFE">
              <w:rPr>
                <w:rStyle w:val="bold"/>
                <w:rFonts w:ascii="Arial" w:hAnsi="Arial" w:cs="Arial"/>
                <w:b/>
                <w:color w:val="auto"/>
                <w:spacing w:val="-2"/>
              </w:rPr>
              <w:t>Excise Tariff Amendment (Tobacco) Bill 2010 and Customs Tariff Amendment (Tobacco) Bill 2010</w:t>
            </w:r>
          </w:p>
          <w:p w14:paraId="4920CEF9" w14:textId="77777777" w:rsidR="004C31D9" w:rsidRPr="00673FFE" w:rsidRDefault="004C31D9">
            <w:pPr>
              <w:pStyle w:val="body"/>
              <w:rPr>
                <w:rFonts w:ascii="Arial" w:hAnsi="Arial" w:cs="Arial"/>
                <w:i/>
                <w:color w:val="auto"/>
              </w:rPr>
            </w:pPr>
            <w:r w:rsidRPr="00673FFE">
              <w:rPr>
                <w:rStyle w:val="italic"/>
                <w:rFonts w:ascii="Arial" w:hAnsi="Arial" w:cs="Arial"/>
                <w:i/>
                <w:color w:val="auto"/>
                <w:spacing w:val="-4"/>
              </w:rPr>
              <w:t>Increase the excise tariff applying to tobacco products by 25 per cent and increase of rates of duty applying to tobacco products imported into Australia by 25 per cent.</w:t>
            </w:r>
          </w:p>
        </w:tc>
      </w:tr>
      <w:tr w:rsidR="004C31D9" w:rsidRPr="00490DCE" w14:paraId="216DD49D"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3C13125"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6587210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April 2010</w:t>
            </w:r>
          </w:p>
        </w:tc>
        <w:tc>
          <w:tcPr>
            <w:cnfStyle w:val="000010000000" w:firstRow="0" w:lastRow="0" w:firstColumn="0" w:lastColumn="0" w:oddVBand="1" w:evenVBand="0" w:oddHBand="0" w:evenHBand="0" w:firstRowFirstColumn="0" w:firstRowLastColumn="0" w:lastRowFirstColumn="0" w:lastRowLastColumn="0"/>
            <w:tcW w:w="1000" w:type="pct"/>
          </w:tcPr>
          <w:p w14:paraId="0C0BA394" w14:textId="77777777" w:rsidR="004C31D9" w:rsidRPr="00490DCE" w:rsidRDefault="004C31D9">
            <w:pPr>
              <w:pStyle w:val="body"/>
              <w:jc w:val="center"/>
              <w:rPr>
                <w:rFonts w:ascii="Arial" w:hAnsi="Arial" w:cs="Arial"/>
                <w:color w:val="auto"/>
              </w:rPr>
            </w:pPr>
            <w:r w:rsidRPr="00490DCE">
              <w:rPr>
                <w:rFonts w:ascii="Arial" w:hAnsi="Arial" w:cs="Arial"/>
                <w:color w:val="auto"/>
              </w:rPr>
              <w:t>April 2012</w:t>
            </w:r>
          </w:p>
        </w:tc>
        <w:tc>
          <w:tcPr>
            <w:tcW w:w="1000" w:type="pct"/>
          </w:tcPr>
          <w:p w14:paraId="358F0C8E"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4BE1685F"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22762900"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D82452F"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Foreign Acquisitions and Takeovers Regulations 2010 (No. 2)</w:t>
            </w:r>
          </w:p>
          <w:p w14:paraId="59A4CDC0" w14:textId="77777777" w:rsidR="004C31D9" w:rsidRPr="00490DCE" w:rsidRDefault="004C31D9" w:rsidP="00775ABB">
            <w:pPr>
              <w:pStyle w:val="body"/>
              <w:rPr>
                <w:rFonts w:ascii="Arial" w:hAnsi="Arial" w:cs="Arial"/>
                <w:color w:val="auto"/>
              </w:rPr>
            </w:pPr>
            <w:r w:rsidRPr="00673FFE">
              <w:rPr>
                <w:rStyle w:val="italic"/>
                <w:rFonts w:ascii="Arial" w:hAnsi="Arial" w:cs="Arial"/>
                <w:i/>
                <w:color w:val="auto"/>
              </w:rPr>
              <w:t>Remove an exemption that applied to temporary residents buying residential real estate in Australia</w:t>
            </w:r>
            <w:r w:rsidRPr="00490DCE">
              <w:rPr>
                <w:rStyle w:val="italic"/>
                <w:rFonts w:ascii="Arial" w:hAnsi="Arial" w:cs="Arial"/>
                <w:color w:val="auto"/>
              </w:rPr>
              <w:t>.</w:t>
            </w:r>
          </w:p>
        </w:tc>
      </w:tr>
      <w:tr w:rsidR="004C31D9" w:rsidRPr="00490DCE" w14:paraId="628F40A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A0FAE35"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369AEC7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May 2010</w:t>
            </w:r>
          </w:p>
        </w:tc>
        <w:tc>
          <w:tcPr>
            <w:cnfStyle w:val="000010000000" w:firstRow="0" w:lastRow="0" w:firstColumn="0" w:lastColumn="0" w:oddVBand="1" w:evenVBand="0" w:oddHBand="0" w:evenHBand="0" w:firstRowFirstColumn="0" w:firstRowLastColumn="0" w:lastRowFirstColumn="0" w:lastRowLastColumn="0"/>
            <w:tcW w:w="1000" w:type="pct"/>
          </w:tcPr>
          <w:p w14:paraId="706F4AF4" w14:textId="77777777" w:rsidR="004C31D9" w:rsidRPr="00490DCE" w:rsidRDefault="004C31D9">
            <w:pPr>
              <w:pStyle w:val="body"/>
              <w:jc w:val="center"/>
              <w:rPr>
                <w:rFonts w:ascii="Arial" w:hAnsi="Arial" w:cs="Arial"/>
                <w:color w:val="auto"/>
              </w:rPr>
            </w:pPr>
            <w:r w:rsidRPr="00490DCE">
              <w:rPr>
                <w:rFonts w:ascii="Arial" w:hAnsi="Arial" w:cs="Arial"/>
                <w:color w:val="auto"/>
              </w:rPr>
              <w:t xml:space="preserve">May 2012 </w:t>
            </w:r>
          </w:p>
        </w:tc>
        <w:tc>
          <w:tcPr>
            <w:tcW w:w="1000" w:type="pct"/>
          </w:tcPr>
          <w:p w14:paraId="789B60C8"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Completed Published</w:t>
            </w:r>
          </w:p>
        </w:tc>
        <w:tc>
          <w:tcPr>
            <w:cnfStyle w:val="000010000000" w:firstRow="0" w:lastRow="0" w:firstColumn="0" w:lastColumn="0" w:oddVBand="1" w:evenVBand="0" w:oddHBand="0" w:evenHBand="0" w:firstRowFirstColumn="0" w:firstRowLastColumn="0" w:lastRowFirstColumn="0" w:lastRowLastColumn="0"/>
            <w:tcW w:w="1000" w:type="pct"/>
          </w:tcPr>
          <w:p w14:paraId="7BDCD974"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6AFB535A"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CAF6CAE"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Regulation of Litigation Funding</w:t>
            </w:r>
          </w:p>
          <w:p w14:paraId="60E92347"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lastRenderedPageBreak/>
              <w:t>Clarifying that class actions are not managed investment schemes.</w:t>
            </w:r>
          </w:p>
        </w:tc>
      </w:tr>
      <w:tr w:rsidR="004C31D9" w:rsidRPr="00490DCE" w14:paraId="48876B44"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6B98780" w14:textId="77777777" w:rsidR="004C31D9" w:rsidRPr="00490DCE" w:rsidRDefault="004C31D9">
            <w:pPr>
              <w:pStyle w:val="body"/>
              <w:jc w:val="center"/>
              <w:rPr>
                <w:rFonts w:ascii="Arial" w:hAnsi="Arial" w:cs="Arial"/>
                <w:color w:val="auto"/>
              </w:rPr>
            </w:pPr>
            <w:r w:rsidRPr="00490DCE">
              <w:rPr>
                <w:rFonts w:ascii="Arial" w:hAnsi="Arial" w:cs="Arial"/>
                <w:color w:val="auto"/>
              </w:rPr>
              <w:lastRenderedPageBreak/>
              <w:t>Non-compliant</w:t>
            </w:r>
          </w:p>
        </w:tc>
        <w:tc>
          <w:tcPr>
            <w:tcW w:w="1000" w:type="pct"/>
          </w:tcPr>
          <w:p w14:paraId="5690113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p>
        </w:tc>
        <w:tc>
          <w:tcPr>
            <w:cnfStyle w:val="000010000000" w:firstRow="0" w:lastRow="0" w:firstColumn="0" w:lastColumn="0" w:oddVBand="1" w:evenVBand="0" w:oddHBand="0" w:evenHBand="0" w:firstRowFirstColumn="0" w:firstRowLastColumn="0" w:lastRowFirstColumn="0" w:lastRowLastColumn="0"/>
            <w:tcW w:w="1000" w:type="pct"/>
          </w:tcPr>
          <w:p w14:paraId="6FF245E5" w14:textId="77777777" w:rsidR="004C31D9" w:rsidRPr="00490DCE" w:rsidRDefault="004C31D9">
            <w:pPr>
              <w:pStyle w:val="body"/>
              <w:jc w:val="center"/>
              <w:rPr>
                <w:rFonts w:ascii="Arial" w:hAnsi="Arial" w:cs="Arial"/>
                <w:color w:val="auto"/>
              </w:rPr>
            </w:pPr>
            <w:r w:rsidRPr="00490DCE">
              <w:rPr>
                <w:rFonts w:ascii="Arial" w:hAnsi="Arial" w:cs="Arial"/>
                <w:color w:val="auto"/>
              </w:rPr>
              <w:t>..</w:t>
            </w:r>
          </w:p>
        </w:tc>
        <w:tc>
          <w:tcPr>
            <w:tcW w:w="1000" w:type="pct"/>
          </w:tcPr>
          <w:p w14:paraId="3C70623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E75CEB2"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55238A10"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E2AD910"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Farm Management Deposits</w:t>
            </w:r>
          </w:p>
          <w:p w14:paraId="1CD5E79F"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Early access for primary producers suffering natural disasters and improved administration arrangements.</w:t>
            </w:r>
          </w:p>
        </w:tc>
      </w:tr>
      <w:tr w:rsidR="004C31D9" w:rsidRPr="00490DCE" w14:paraId="2292715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F7476B5"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41FAD10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May 2010</w:t>
            </w:r>
          </w:p>
        </w:tc>
        <w:tc>
          <w:tcPr>
            <w:cnfStyle w:val="000010000000" w:firstRow="0" w:lastRow="0" w:firstColumn="0" w:lastColumn="0" w:oddVBand="1" w:evenVBand="0" w:oddHBand="0" w:evenHBand="0" w:firstRowFirstColumn="0" w:firstRowLastColumn="0" w:lastRowFirstColumn="0" w:lastRowLastColumn="0"/>
            <w:tcW w:w="1000" w:type="pct"/>
          </w:tcPr>
          <w:p w14:paraId="4E30BF45" w14:textId="77777777" w:rsidR="004C31D9" w:rsidRPr="00490DCE" w:rsidRDefault="004C31D9">
            <w:pPr>
              <w:pStyle w:val="body"/>
              <w:jc w:val="center"/>
              <w:rPr>
                <w:rFonts w:ascii="Arial" w:hAnsi="Arial" w:cs="Arial"/>
                <w:color w:val="auto"/>
              </w:rPr>
            </w:pPr>
            <w:r w:rsidRPr="00490DCE">
              <w:rPr>
                <w:rFonts w:ascii="Arial" w:hAnsi="Arial" w:cs="Arial"/>
                <w:color w:val="auto"/>
              </w:rPr>
              <w:t>May 2012</w:t>
            </w:r>
          </w:p>
        </w:tc>
        <w:tc>
          <w:tcPr>
            <w:tcW w:w="1000" w:type="pct"/>
          </w:tcPr>
          <w:p w14:paraId="3F26A4D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Complete </w:t>
            </w:r>
            <w:r w:rsidRPr="00490DCE">
              <w:rPr>
                <w:rFonts w:ascii="Arial" w:hAnsi="Arial" w:cs="Arial"/>
                <w:color w:val="auto"/>
              </w:rPr>
              <w:br/>
              <w:t>not yet published</w:t>
            </w:r>
          </w:p>
        </w:tc>
        <w:tc>
          <w:tcPr>
            <w:cnfStyle w:val="000010000000" w:firstRow="0" w:lastRow="0" w:firstColumn="0" w:lastColumn="0" w:oddVBand="1" w:evenVBand="0" w:oddHBand="0" w:evenHBand="0" w:firstRowFirstColumn="0" w:firstRowLastColumn="0" w:lastRowFirstColumn="0" w:lastRowLastColumn="0"/>
            <w:tcW w:w="1000" w:type="pct"/>
          </w:tcPr>
          <w:p w14:paraId="488E9FBA"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02A853A5"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7122CF4"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Future of Financial Advice</w:t>
            </w:r>
          </w:p>
          <w:p w14:paraId="3F53887F" w14:textId="77777777" w:rsidR="004C31D9" w:rsidRPr="00490DCE" w:rsidRDefault="004C31D9">
            <w:pPr>
              <w:pStyle w:val="body"/>
              <w:rPr>
                <w:rFonts w:ascii="Arial" w:hAnsi="Arial" w:cs="Arial"/>
                <w:color w:val="auto"/>
              </w:rPr>
            </w:pPr>
            <w:r w:rsidRPr="00673FFE">
              <w:rPr>
                <w:rStyle w:val="italic"/>
                <w:rFonts w:ascii="Arial" w:hAnsi="Arial" w:cs="Arial"/>
                <w:i/>
                <w:color w:val="auto"/>
              </w:rPr>
              <w:t>Prospective ban on up-front and trailing commissions and like payments for both individual and group risk insurance within superannuation</w:t>
            </w:r>
            <w:r w:rsidRPr="00490DCE">
              <w:rPr>
                <w:rStyle w:val="italic"/>
                <w:rFonts w:ascii="Arial" w:hAnsi="Arial" w:cs="Arial"/>
                <w:color w:val="auto"/>
              </w:rPr>
              <w:t>.</w:t>
            </w:r>
          </w:p>
        </w:tc>
      </w:tr>
      <w:tr w:rsidR="004C31D9" w:rsidRPr="00490DCE" w14:paraId="4B3863D5"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E9D9CD0"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4F95900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2013</w:t>
            </w:r>
          </w:p>
        </w:tc>
        <w:tc>
          <w:tcPr>
            <w:cnfStyle w:val="000010000000" w:firstRow="0" w:lastRow="0" w:firstColumn="0" w:lastColumn="0" w:oddVBand="1" w:evenVBand="0" w:oddHBand="0" w:evenHBand="0" w:firstRowFirstColumn="0" w:firstRowLastColumn="0" w:lastRowFirstColumn="0" w:lastRowLastColumn="0"/>
            <w:tcW w:w="1000" w:type="pct"/>
          </w:tcPr>
          <w:p w14:paraId="37C47EA5" w14:textId="77777777" w:rsidR="004C31D9" w:rsidRPr="00490DCE" w:rsidRDefault="004C31D9">
            <w:pPr>
              <w:pStyle w:val="body"/>
              <w:jc w:val="center"/>
              <w:rPr>
                <w:rFonts w:ascii="Arial" w:hAnsi="Arial" w:cs="Arial"/>
                <w:color w:val="auto"/>
              </w:rPr>
            </w:pPr>
            <w:r w:rsidRPr="00490DCE">
              <w:rPr>
                <w:rFonts w:ascii="Arial" w:hAnsi="Arial" w:cs="Arial"/>
                <w:color w:val="auto"/>
              </w:rPr>
              <w:t>July 2015</w:t>
            </w:r>
          </w:p>
        </w:tc>
        <w:tc>
          <w:tcPr>
            <w:tcW w:w="1000" w:type="pct"/>
          </w:tcPr>
          <w:p w14:paraId="083B48B3"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6560BCD0"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2FA842D9"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D5ACE46"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Requirement for advisers to renew client agreement to ongoing advice fees every two years (opt-in regime).</w:t>
            </w:r>
          </w:p>
        </w:tc>
      </w:tr>
      <w:tr w:rsidR="004C31D9" w:rsidRPr="00490DCE" w14:paraId="7038B09D"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5195C7E"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18FE299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698D4058"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6AEA514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A3DCEF0"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2A0DCE87"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9DC78A9"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Ban on soft dollar benefits over $300 per benefit.</w:t>
            </w:r>
          </w:p>
        </w:tc>
      </w:tr>
      <w:tr w:rsidR="004C31D9" w:rsidRPr="00490DCE" w14:paraId="60F16E75"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EB8D06E"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4320FF6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63F3CEFD"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1B58AA5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38A6FD8"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6A6000FE"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927792A"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Limited carve-out for basic products from the ban on certain conflicted remuneration structures and best interests duty.</w:t>
            </w:r>
          </w:p>
        </w:tc>
      </w:tr>
      <w:tr w:rsidR="004C31D9" w:rsidRPr="00490DCE" w14:paraId="639522EF"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0130E15"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760FEE21"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5C2F5229"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1E6FE535"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5B8F4D3"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5F9A8466"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B6A1452"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Access to scaled financial advice.</w:t>
            </w:r>
          </w:p>
        </w:tc>
      </w:tr>
      <w:tr w:rsidR="004C31D9" w:rsidRPr="00490DCE" w14:paraId="00457531"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45D62B93"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44527D2B"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2012</w:t>
            </w:r>
          </w:p>
        </w:tc>
        <w:tc>
          <w:tcPr>
            <w:cnfStyle w:val="000010000000" w:firstRow="0" w:lastRow="0" w:firstColumn="0" w:lastColumn="0" w:oddVBand="1" w:evenVBand="0" w:oddHBand="0" w:evenHBand="0" w:firstRowFirstColumn="0" w:firstRowLastColumn="0" w:lastRowFirstColumn="0" w:lastRowLastColumn="0"/>
            <w:tcW w:w="1000" w:type="pct"/>
          </w:tcPr>
          <w:p w14:paraId="2B98C180"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1E440E0A"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3DB5480"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71C53104"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3AD7F3E"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Taxation of Financial Arrangements – Amendments to Tax Hedging Rules</w:t>
            </w:r>
          </w:p>
          <w:p w14:paraId="31F727F8"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Amendments to ensure rules operate as intended and provide clarification.</w:t>
            </w:r>
          </w:p>
        </w:tc>
      </w:tr>
      <w:tr w:rsidR="004C31D9" w:rsidRPr="00490DCE" w14:paraId="08FDCCC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4F64AE5" w14:textId="77777777" w:rsidR="004C31D9" w:rsidRPr="00490DCE" w:rsidRDefault="004C31D9">
            <w:pPr>
              <w:pStyle w:val="body"/>
              <w:jc w:val="center"/>
              <w:rPr>
                <w:rFonts w:ascii="Arial" w:hAnsi="Arial" w:cs="Arial"/>
                <w:color w:val="auto"/>
              </w:rPr>
            </w:pPr>
            <w:r w:rsidRPr="00490DCE">
              <w:rPr>
                <w:rFonts w:ascii="Arial" w:hAnsi="Arial" w:cs="Arial"/>
                <w:color w:val="auto"/>
              </w:rPr>
              <w:t>Non-compliant</w:t>
            </w:r>
          </w:p>
        </w:tc>
        <w:tc>
          <w:tcPr>
            <w:tcW w:w="1000" w:type="pct"/>
          </w:tcPr>
          <w:p w14:paraId="67A40CBB"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00" w:type="pct"/>
          </w:tcPr>
          <w:p w14:paraId="1B893E19" w14:textId="77777777" w:rsidR="004C31D9" w:rsidRPr="00490DCE" w:rsidRDefault="004C31D9">
            <w:pPr>
              <w:pStyle w:val="body"/>
              <w:jc w:val="center"/>
              <w:rPr>
                <w:rFonts w:ascii="Arial" w:hAnsi="Arial" w:cs="Arial"/>
                <w:color w:val="auto"/>
              </w:rPr>
            </w:pPr>
            <w:r w:rsidRPr="00490DCE">
              <w:rPr>
                <w:rFonts w:ascii="Arial" w:hAnsi="Arial" w:cs="Arial"/>
                <w:color w:val="auto"/>
              </w:rPr>
              <w:t>..</w:t>
            </w:r>
          </w:p>
        </w:tc>
        <w:tc>
          <w:tcPr>
            <w:tcW w:w="1000" w:type="pct"/>
          </w:tcPr>
          <w:p w14:paraId="7B20089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16F67BF3"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1A2C035F"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BA4D9CA"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Government’s Response to the Super System Review (Cooper Review)</w:t>
            </w:r>
          </w:p>
          <w:p w14:paraId="4E43CD69" w14:textId="77777777" w:rsidR="004C31D9" w:rsidRPr="00490DCE" w:rsidRDefault="004C31D9">
            <w:pPr>
              <w:pStyle w:val="body"/>
              <w:rPr>
                <w:rFonts w:ascii="Arial" w:hAnsi="Arial" w:cs="Arial"/>
                <w:color w:val="auto"/>
              </w:rPr>
            </w:pPr>
            <w:r w:rsidRPr="00673FFE">
              <w:rPr>
                <w:rStyle w:val="italic"/>
                <w:rFonts w:ascii="Arial" w:hAnsi="Arial" w:cs="Arial"/>
                <w:i/>
                <w:color w:val="auto"/>
              </w:rPr>
              <w:t>Australian Government’s initial response to the Super System (Cooper) Review</w:t>
            </w:r>
            <w:r w:rsidRPr="00490DCE">
              <w:rPr>
                <w:rStyle w:val="italic"/>
                <w:rFonts w:ascii="Arial" w:hAnsi="Arial" w:cs="Arial"/>
                <w:color w:val="auto"/>
              </w:rPr>
              <w:t>.</w:t>
            </w:r>
          </w:p>
        </w:tc>
      </w:tr>
      <w:tr w:rsidR="004C31D9" w:rsidRPr="00490DCE" w14:paraId="19A8E6EB"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258A1F44"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3EDE3FAE"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2013</w:t>
            </w:r>
          </w:p>
        </w:tc>
        <w:tc>
          <w:tcPr>
            <w:cnfStyle w:val="000010000000" w:firstRow="0" w:lastRow="0" w:firstColumn="0" w:lastColumn="0" w:oddVBand="1" w:evenVBand="0" w:oddHBand="0" w:evenHBand="0" w:firstRowFirstColumn="0" w:firstRowLastColumn="0" w:lastRowFirstColumn="0" w:lastRowLastColumn="0"/>
            <w:tcW w:w="1000" w:type="pct"/>
          </w:tcPr>
          <w:p w14:paraId="6F3DD717" w14:textId="77777777" w:rsidR="004C31D9" w:rsidRPr="00490DCE" w:rsidRDefault="004C31D9">
            <w:pPr>
              <w:pStyle w:val="body"/>
              <w:jc w:val="center"/>
              <w:rPr>
                <w:rFonts w:ascii="Arial" w:hAnsi="Arial" w:cs="Arial"/>
                <w:color w:val="auto"/>
              </w:rPr>
            </w:pPr>
            <w:r w:rsidRPr="00490DCE">
              <w:rPr>
                <w:rFonts w:ascii="Arial" w:hAnsi="Arial" w:cs="Arial"/>
                <w:color w:val="auto"/>
              </w:rPr>
              <w:t>July 2015</w:t>
            </w:r>
          </w:p>
        </w:tc>
        <w:tc>
          <w:tcPr>
            <w:tcW w:w="1000" w:type="pct"/>
          </w:tcPr>
          <w:p w14:paraId="3271883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88461CE" w14:textId="77777777" w:rsidR="004C31D9" w:rsidRPr="00490DCE" w:rsidRDefault="004C31D9">
            <w:pPr>
              <w:pStyle w:val="body"/>
              <w:jc w:val="center"/>
              <w:rPr>
                <w:rFonts w:ascii="Arial" w:hAnsi="Arial" w:cs="Arial"/>
                <w:color w:val="auto"/>
              </w:rPr>
            </w:pPr>
            <w:proofErr w:type="spellStart"/>
            <w:r w:rsidRPr="00490DCE">
              <w:rPr>
                <w:rFonts w:ascii="Arial" w:hAnsi="Arial" w:cs="Arial"/>
                <w:color w:val="auto"/>
              </w:rPr>
              <w:t>Compliant</w:t>
            </w:r>
            <w:r w:rsidRPr="00490DCE">
              <w:rPr>
                <w:rFonts w:ascii="Arial" w:hAnsi="Arial" w:cs="Arial"/>
                <w:color w:val="auto"/>
                <w:vertAlign w:val="superscript"/>
              </w:rPr>
              <w:t>a</w:t>
            </w:r>
            <w:proofErr w:type="spellEnd"/>
          </w:p>
        </w:tc>
      </w:tr>
      <w:tr w:rsidR="004C31D9" w:rsidRPr="00490DCE" w14:paraId="66467808"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FAF78FE"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Competitive and Sustainable Banking System</w:t>
            </w:r>
          </w:p>
          <w:p w14:paraId="09C1AE40" w14:textId="77777777" w:rsidR="004C31D9" w:rsidRPr="00490DCE" w:rsidRDefault="004C31D9">
            <w:pPr>
              <w:pStyle w:val="body"/>
              <w:rPr>
                <w:rFonts w:ascii="Arial" w:hAnsi="Arial" w:cs="Arial"/>
                <w:color w:val="auto"/>
              </w:rPr>
            </w:pPr>
            <w:r w:rsidRPr="00673FFE">
              <w:rPr>
                <w:rStyle w:val="italic"/>
                <w:rFonts w:ascii="Arial" w:hAnsi="Arial" w:cs="Arial"/>
                <w:i/>
                <w:color w:val="auto"/>
              </w:rPr>
              <w:t>Develop a corporate bond market</w:t>
            </w:r>
            <w:r w:rsidRPr="00490DCE">
              <w:rPr>
                <w:rStyle w:val="italic"/>
                <w:rFonts w:ascii="Arial" w:hAnsi="Arial" w:cs="Arial"/>
                <w:color w:val="auto"/>
              </w:rPr>
              <w:t>.</w:t>
            </w:r>
          </w:p>
        </w:tc>
      </w:tr>
      <w:tr w:rsidR="004C31D9" w:rsidRPr="00490DCE" w14:paraId="4487A87E" w14:textId="77777777" w:rsidTr="004C31D9">
        <w:trPr>
          <w:trHeight w:val="535"/>
        </w:trPr>
        <w:tc>
          <w:tcPr>
            <w:cnfStyle w:val="000010000000" w:firstRow="0" w:lastRow="0" w:firstColumn="0" w:lastColumn="0" w:oddVBand="1" w:evenVBand="0" w:oddHBand="0" w:evenHBand="0" w:firstRowFirstColumn="0" w:firstRowLastColumn="0" w:lastRowFirstColumn="0" w:lastRowLastColumn="0"/>
            <w:tcW w:w="1000" w:type="pct"/>
          </w:tcPr>
          <w:p w14:paraId="3877C03F"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6516F598"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 xml:space="preserve">Not </w:t>
            </w:r>
            <w:r w:rsidRPr="00490DCE">
              <w:rPr>
                <w:rFonts w:ascii="Arial" w:hAnsi="Arial" w:cs="Arial"/>
                <w:color w:val="auto"/>
              </w:rPr>
              <w:br/>
              <w:t>implemented</w:t>
            </w:r>
          </w:p>
        </w:tc>
        <w:tc>
          <w:tcPr>
            <w:cnfStyle w:val="000010000000" w:firstRow="0" w:lastRow="0" w:firstColumn="0" w:lastColumn="0" w:oddVBand="1" w:evenVBand="0" w:oddHBand="0" w:evenHBand="0" w:firstRowFirstColumn="0" w:firstRowLastColumn="0" w:lastRowFirstColumn="0" w:lastRowLastColumn="0"/>
            <w:tcW w:w="1000" w:type="pct"/>
          </w:tcPr>
          <w:p w14:paraId="3CD8B7B6" w14:textId="77777777" w:rsidR="004C31D9" w:rsidRPr="00490DCE" w:rsidRDefault="004C31D9">
            <w:pPr>
              <w:pStyle w:val="body"/>
              <w:jc w:val="center"/>
              <w:rPr>
                <w:rFonts w:ascii="Arial" w:hAnsi="Arial" w:cs="Arial"/>
                <w:color w:val="auto"/>
              </w:rPr>
            </w:pPr>
            <w:r w:rsidRPr="00490DCE">
              <w:rPr>
                <w:rFonts w:ascii="Arial" w:hAnsi="Arial" w:cs="Arial"/>
                <w:color w:val="auto"/>
              </w:rPr>
              <w:t>..</w:t>
            </w:r>
          </w:p>
        </w:tc>
        <w:tc>
          <w:tcPr>
            <w:tcW w:w="1000" w:type="pct"/>
          </w:tcPr>
          <w:p w14:paraId="610CA5B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D3F680E"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799088D9"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357C796"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Ban home loan exit fees.</w:t>
            </w:r>
          </w:p>
        </w:tc>
      </w:tr>
      <w:tr w:rsidR="004C31D9" w:rsidRPr="00490DCE" w14:paraId="608127F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8DEF859"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5CEA5090"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 July 2011</w:t>
            </w:r>
          </w:p>
        </w:tc>
        <w:tc>
          <w:tcPr>
            <w:cnfStyle w:val="000010000000" w:firstRow="0" w:lastRow="0" w:firstColumn="0" w:lastColumn="0" w:oddVBand="1" w:evenVBand="0" w:oddHBand="0" w:evenHBand="0" w:firstRowFirstColumn="0" w:firstRowLastColumn="0" w:lastRowFirstColumn="0" w:lastRowLastColumn="0"/>
            <w:tcW w:w="1000" w:type="pct"/>
          </w:tcPr>
          <w:p w14:paraId="2421832C" w14:textId="77777777" w:rsidR="004C31D9" w:rsidRPr="00490DCE" w:rsidRDefault="004C31D9">
            <w:pPr>
              <w:pStyle w:val="body"/>
              <w:jc w:val="center"/>
              <w:rPr>
                <w:rFonts w:ascii="Arial" w:hAnsi="Arial" w:cs="Arial"/>
                <w:color w:val="auto"/>
              </w:rPr>
            </w:pPr>
            <w:r w:rsidRPr="00490DCE">
              <w:rPr>
                <w:rFonts w:ascii="Arial" w:hAnsi="Arial" w:cs="Arial"/>
                <w:color w:val="auto"/>
              </w:rPr>
              <w:t>July 2013</w:t>
            </w:r>
          </w:p>
        </w:tc>
        <w:tc>
          <w:tcPr>
            <w:tcW w:w="1000" w:type="pct"/>
          </w:tcPr>
          <w:p w14:paraId="34B2072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2CCA1B2C"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0147E5D9"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5E65B42"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Allow banks to issue covered bonds.</w:t>
            </w:r>
          </w:p>
        </w:tc>
      </w:tr>
      <w:tr w:rsidR="004C31D9" w:rsidRPr="00490DCE" w14:paraId="24837B45"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E495467"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1E37D175"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17 October 2011</w:t>
            </w:r>
          </w:p>
        </w:tc>
        <w:tc>
          <w:tcPr>
            <w:cnfStyle w:val="000010000000" w:firstRow="0" w:lastRow="0" w:firstColumn="0" w:lastColumn="0" w:oddVBand="1" w:evenVBand="0" w:oddHBand="0" w:evenHBand="0" w:firstRowFirstColumn="0" w:firstRowLastColumn="0" w:lastRowFirstColumn="0" w:lastRowLastColumn="0"/>
            <w:tcW w:w="1000" w:type="pct"/>
          </w:tcPr>
          <w:p w14:paraId="5E6B32DE" w14:textId="77777777" w:rsidR="004C31D9" w:rsidRPr="00490DCE" w:rsidRDefault="004C31D9">
            <w:pPr>
              <w:pStyle w:val="body"/>
              <w:jc w:val="center"/>
              <w:rPr>
                <w:rFonts w:ascii="Arial" w:hAnsi="Arial" w:cs="Arial"/>
                <w:color w:val="auto"/>
              </w:rPr>
            </w:pPr>
            <w:r w:rsidRPr="00490DCE">
              <w:rPr>
                <w:rFonts w:ascii="Arial" w:hAnsi="Arial" w:cs="Arial"/>
                <w:color w:val="auto"/>
              </w:rPr>
              <w:t>October 2013</w:t>
            </w:r>
          </w:p>
        </w:tc>
        <w:tc>
          <w:tcPr>
            <w:tcW w:w="1000" w:type="pct"/>
          </w:tcPr>
          <w:p w14:paraId="518B65C9"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6BCCA283"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3AB00D25"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31CCD52" w14:textId="77777777" w:rsidR="004C31D9" w:rsidRPr="00673FFE" w:rsidRDefault="004C31D9">
            <w:pPr>
              <w:pStyle w:val="body"/>
              <w:rPr>
                <w:rStyle w:val="bold"/>
                <w:rFonts w:ascii="Arial" w:hAnsi="Arial" w:cs="Arial"/>
                <w:b/>
                <w:color w:val="auto"/>
              </w:rPr>
            </w:pPr>
            <w:r w:rsidRPr="00673FFE">
              <w:rPr>
                <w:rStyle w:val="bold"/>
                <w:rFonts w:ascii="Arial" w:hAnsi="Arial" w:cs="Arial"/>
                <w:b/>
                <w:color w:val="auto"/>
              </w:rPr>
              <w:t>Government Response to Australia’s Future Tax System Review</w:t>
            </w:r>
          </w:p>
          <w:p w14:paraId="62FDB906" w14:textId="77777777" w:rsidR="004C31D9" w:rsidRPr="00490DCE" w:rsidRDefault="004C31D9">
            <w:pPr>
              <w:pStyle w:val="body"/>
              <w:rPr>
                <w:rFonts w:ascii="Arial" w:hAnsi="Arial" w:cs="Arial"/>
                <w:color w:val="auto"/>
              </w:rPr>
            </w:pPr>
            <w:r w:rsidRPr="00673FFE">
              <w:rPr>
                <w:rStyle w:val="italic"/>
                <w:rFonts w:ascii="Arial" w:hAnsi="Arial" w:cs="Arial"/>
                <w:i/>
                <w:color w:val="auto"/>
                <w:spacing w:val="-2"/>
              </w:rPr>
              <w:t>Abolition of the entrepreneurs’ tax offset</w:t>
            </w:r>
            <w:r w:rsidRPr="00490DCE">
              <w:rPr>
                <w:rStyle w:val="italic"/>
                <w:rFonts w:ascii="Arial" w:hAnsi="Arial" w:cs="Arial"/>
                <w:color w:val="auto"/>
                <w:spacing w:val="-2"/>
              </w:rPr>
              <w:t>.</w:t>
            </w:r>
          </w:p>
        </w:tc>
      </w:tr>
      <w:tr w:rsidR="004C31D9" w:rsidRPr="00490DCE" w14:paraId="52558B40"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EF528D9"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6E2CCF9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2012</w:t>
            </w:r>
          </w:p>
        </w:tc>
        <w:tc>
          <w:tcPr>
            <w:cnfStyle w:val="000010000000" w:firstRow="0" w:lastRow="0" w:firstColumn="0" w:lastColumn="0" w:oddVBand="1" w:evenVBand="0" w:oddHBand="0" w:evenHBand="0" w:firstRowFirstColumn="0" w:firstRowLastColumn="0" w:lastRowFirstColumn="0" w:lastRowLastColumn="0"/>
            <w:tcW w:w="1000" w:type="pct"/>
          </w:tcPr>
          <w:p w14:paraId="4824CDFD"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46FF3FB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493D5E40"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4947CE35"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36CBF376"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Fringe benefit tax: reform of the car fringe benefit rule.</w:t>
            </w:r>
          </w:p>
        </w:tc>
      </w:tr>
      <w:tr w:rsidR="004C31D9" w:rsidRPr="00490DCE" w14:paraId="34035DD5"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2BEA703"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4719FD2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May 2011</w:t>
            </w:r>
          </w:p>
        </w:tc>
        <w:tc>
          <w:tcPr>
            <w:cnfStyle w:val="000010000000" w:firstRow="0" w:lastRow="0" w:firstColumn="0" w:lastColumn="0" w:oddVBand="1" w:evenVBand="0" w:oddHBand="0" w:evenHBand="0" w:firstRowFirstColumn="0" w:firstRowLastColumn="0" w:lastRowFirstColumn="0" w:lastRowLastColumn="0"/>
            <w:tcW w:w="1000" w:type="pct"/>
          </w:tcPr>
          <w:p w14:paraId="4B126E14" w14:textId="77777777" w:rsidR="004C31D9" w:rsidRPr="00490DCE" w:rsidRDefault="004C31D9">
            <w:pPr>
              <w:pStyle w:val="body"/>
              <w:jc w:val="center"/>
              <w:rPr>
                <w:rFonts w:ascii="Arial" w:hAnsi="Arial" w:cs="Arial"/>
                <w:color w:val="auto"/>
              </w:rPr>
            </w:pPr>
            <w:r w:rsidRPr="00490DCE">
              <w:rPr>
                <w:rFonts w:ascii="Arial" w:hAnsi="Arial" w:cs="Arial"/>
                <w:color w:val="auto"/>
              </w:rPr>
              <w:t>May 2013</w:t>
            </w:r>
          </w:p>
        </w:tc>
        <w:tc>
          <w:tcPr>
            <w:tcW w:w="1000" w:type="pct"/>
          </w:tcPr>
          <w:p w14:paraId="1D15E11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Started</w:t>
            </w:r>
          </w:p>
        </w:tc>
        <w:tc>
          <w:tcPr>
            <w:cnfStyle w:val="000010000000" w:firstRow="0" w:lastRow="0" w:firstColumn="0" w:lastColumn="0" w:oddVBand="1" w:evenVBand="0" w:oddHBand="0" w:evenHBand="0" w:firstRowFirstColumn="0" w:firstRowLastColumn="0" w:lastRowFirstColumn="0" w:lastRowLastColumn="0"/>
            <w:tcW w:w="1000" w:type="pct"/>
          </w:tcPr>
          <w:p w14:paraId="6B68F171"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5523092B"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00338FDF"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lastRenderedPageBreak/>
              <w:t>Expanding the definition of geothermal energy.</w:t>
            </w:r>
          </w:p>
        </w:tc>
      </w:tr>
      <w:tr w:rsidR="004C31D9" w:rsidRPr="00490DCE" w14:paraId="47088328"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C23A870"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3F01B58B"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2012</w:t>
            </w:r>
          </w:p>
        </w:tc>
        <w:tc>
          <w:tcPr>
            <w:cnfStyle w:val="000010000000" w:firstRow="0" w:lastRow="0" w:firstColumn="0" w:lastColumn="0" w:oddVBand="1" w:evenVBand="0" w:oddHBand="0" w:evenHBand="0" w:firstRowFirstColumn="0" w:firstRowLastColumn="0" w:lastRowFirstColumn="0" w:lastRowLastColumn="0"/>
            <w:tcW w:w="1000" w:type="pct"/>
          </w:tcPr>
          <w:p w14:paraId="3F9E5BB4"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3930E9C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2486160C"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0697B623"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2C9C633C" w14:textId="77777777" w:rsidR="004C31D9" w:rsidRPr="00673FFE" w:rsidRDefault="004C31D9">
            <w:pPr>
              <w:pStyle w:val="body"/>
              <w:rPr>
                <w:rFonts w:ascii="Arial" w:hAnsi="Arial" w:cs="Arial"/>
                <w:i/>
                <w:color w:val="auto"/>
              </w:rPr>
            </w:pPr>
            <w:r w:rsidRPr="00673FFE">
              <w:rPr>
                <w:rStyle w:val="italic"/>
                <w:rFonts w:ascii="Arial" w:hAnsi="Arial" w:cs="Arial"/>
                <w:i/>
                <w:color w:val="auto"/>
              </w:rPr>
              <w:t>Mineral Resource Rent Tax – adoption of the recommendations of the Policy Transition Group.</w:t>
            </w:r>
          </w:p>
        </w:tc>
      </w:tr>
      <w:tr w:rsidR="004C31D9" w:rsidRPr="00490DCE" w14:paraId="2FB833A8"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5331F2E"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153FDF9C"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2012</w:t>
            </w:r>
          </w:p>
        </w:tc>
        <w:tc>
          <w:tcPr>
            <w:cnfStyle w:val="000010000000" w:firstRow="0" w:lastRow="0" w:firstColumn="0" w:lastColumn="0" w:oddVBand="1" w:evenVBand="0" w:oddHBand="0" w:evenHBand="0" w:firstRowFirstColumn="0" w:firstRowLastColumn="0" w:lastRowFirstColumn="0" w:lastRowLastColumn="0"/>
            <w:tcW w:w="1000" w:type="pct"/>
          </w:tcPr>
          <w:p w14:paraId="4E722A7B"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0CD47D1D"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ED07F80"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1EDEB90C"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48A28BEC" w14:textId="77777777" w:rsidR="004C31D9" w:rsidRPr="00773B15" w:rsidRDefault="004C31D9">
            <w:pPr>
              <w:pStyle w:val="body"/>
              <w:rPr>
                <w:rFonts w:ascii="Arial" w:hAnsi="Arial" w:cs="Arial"/>
                <w:i/>
                <w:color w:val="auto"/>
              </w:rPr>
            </w:pPr>
            <w:r w:rsidRPr="00773B15">
              <w:rPr>
                <w:rStyle w:val="italic"/>
                <w:rFonts w:ascii="Arial" w:hAnsi="Arial" w:cs="Arial"/>
                <w:i/>
                <w:color w:val="auto"/>
              </w:rPr>
              <w:t>Better targeting of not-for-profit tax concessions.</w:t>
            </w:r>
          </w:p>
        </w:tc>
      </w:tr>
      <w:tr w:rsidR="004C31D9" w:rsidRPr="00490DCE" w14:paraId="7FF611B2"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616DD2CE"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4D3D13AF"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2014</w:t>
            </w:r>
          </w:p>
        </w:tc>
        <w:tc>
          <w:tcPr>
            <w:cnfStyle w:val="000010000000" w:firstRow="0" w:lastRow="0" w:firstColumn="0" w:lastColumn="0" w:oddVBand="1" w:evenVBand="0" w:oddHBand="0" w:evenHBand="0" w:firstRowFirstColumn="0" w:firstRowLastColumn="0" w:lastRowFirstColumn="0" w:lastRowLastColumn="0"/>
            <w:tcW w:w="1000" w:type="pct"/>
          </w:tcPr>
          <w:p w14:paraId="3B28FB2A" w14:textId="77777777" w:rsidR="004C31D9" w:rsidRPr="00490DCE" w:rsidRDefault="004C31D9">
            <w:pPr>
              <w:pStyle w:val="body"/>
              <w:jc w:val="center"/>
              <w:rPr>
                <w:rFonts w:ascii="Arial" w:hAnsi="Arial" w:cs="Arial"/>
                <w:color w:val="auto"/>
              </w:rPr>
            </w:pPr>
            <w:r w:rsidRPr="00490DCE">
              <w:rPr>
                <w:rFonts w:ascii="Arial" w:hAnsi="Arial" w:cs="Arial"/>
                <w:color w:val="auto"/>
              </w:rPr>
              <w:t>July 2016</w:t>
            </w:r>
          </w:p>
        </w:tc>
        <w:tc>
          <w:tcPr>
            <w:tcW w:w="1000" w:type="pct"/>
          </w:tcPr>
          <w:p w14:paraId="2E3844E3"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3FB78F02"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2C3C3E47"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1E11CEEE" w14:textId="77777777" w:rsidR="004C31D9" w:rsidRPr="00773B15" w:rsidRDefault="004C31D9">
            <w:pPr>
              <w:pStyle w:val="body"/>
              <w:rPr>
                <w:rFonts w:ascii="Arial" w:hAnsi="Arial" w:cs="Arial"/>
                <w:i/>
                <w:color w:val="auto"/>
              </w:rPr>
            </w:pPr>
            <w:r w:rsidRPr="00773B15">
              <w:rPr>
                <w:rStyle w:val="italic"/>
                <w:rFonts w:ascii="Arial" w:hAnsi="Arial" w:cs="Arial"/>
                <w:i/>
                <w:color w:val="auto"/>
              </w:rPr>
              <w:t>Introducing a statutory definition of charity</w:t>
            </w:r>
          </w:p>
        </w:tc>
      </w:tr>
      <w:tr w:rsidR="004C31D9" w:rsidRPr="00490DCE" w14:paraId="7CC6AFFF"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E2DFE04"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65769939"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January 2014</w:t>
            </w:r>
          </w:p>
        </w:tc>
        <w:tc>
          <w:tcPr>
            <w:cnfStyle w:val="000010000000" w:firstRow="0" w:lastRow="0" w:firstColumn="0" w:lastColumn="0" w:oddVBand="1" w:evenVBand="0" w:oddHBand="0" w:evenHBand="0" w:firstRowFirstColumn="0" w:firstRowLastColumn="0" w:lastRowFirstColumn="0" w:lastRowLastColumn="0"/>
            <w:tcW w:w="1000" w:type="pct"/>
          </w:tcPr>
          <w:p w14:paraId="11E0FB46" w14:textId="77777777" w:rsidR="004C31D9" w:rsidRPr="00490DCE" w:rsidRDefault="004C31D9">
            <w:pPr>
              <w:pStyle w:val="body"/>
              <w:jc w:val="center"/>
              <w:rPr>
                <w:rFonts w:ascii="Arial" w:hAnsi="Arial" w:cs="Arial"/>
                <w:color w:val="auto"/>
              </w:rPr>
            </w:pPr>
            <w:r w:rsidRPr="00490DCE">
              <w:rPr>
                <w:rFonts w:ascii="Arial" w:hAnsi="Arial" w:cs="Arial"/>
                <w:color w:val="auto"/>
              </w:rPr>
              <w:t>January 2016</w:t>
            </w:r>
          </w:p>
        </w:tc>
        <w:tc>
          <w:tcPr>
            <w:tcW w:w="1000" w:type="pct"/>
          </w:tcPr>
          <w:p w14:paraId="7F145E8E"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B7C5B48"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4C3DCE9D"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6D5AB77B" w14:textId="77777777" w:rsidR="004C31D9" w:rsidRPr="00773B15" w:rsidRDefault="004C31D9">
            <w:pPr>
              <w:pStyle w:val="body"/>
              <w:rPr>
                <w:rFonts w:ascii="Arial" w:hAnsi="Arial" w:cs="Arial"/>
                <w:i/>
                <w:color w:val="auto"/>
              </w:rPr>
            </w:pPr>
            <w:r w:rsidRPr="00773B15">
              <w:rPr>
                <w:rStyle w:val="italic"/>
                <w:rFonts w:ascii="Arial" w:hAnsi="Arial" w:cs="Arial"/>
                <w:i/>
                <w:color w:val="auto"/>
              </w:rPr>
              <w:t>Small business depreciation – accelerated initial deduction for motor vehicles.</w:t>
            </w:r>
          </w:p>
        </w:tc>
      </w:tr>
      <w:tr w:rsidR="004C31D9" w:rsidRPr="00490DCE" w14:paraId="2053FA81"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7A2C2A48"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0B5F16C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2012</w:t>
            </w:r>
          </w:p>
        </w:tc>
        <w:tc>
          <w:tcPr>
            <w:cnfStyle w:val="000010000000" w:firstRow="0" w:lastRow="0" w:firstColumn="0" w:lastColumn="0" w:oddVBand="1" w:evenVBand="0" w:oddHBand="0" w:evenHBand="0" w:firstRowFirstColumn="0" w:firstRowLastColumn="0" w:lastRowFirstColumn="0" w:lastRowLastColumn="0"/>
            <w:tcW w:w="1000" w:type="pct"/>
          </w:tcPr>
          <w:p w14:paraId="59F98544" w14:textId="77777777" w:rsidR="004C31D9" w:rsidRPr="00490DCE" w:rsidRDefault="004C31D9">
            <w:pPr>
              <w:pStyle w:val="body"/>
              <w:jc w:val="center"/>
              <w:rPr>
                <w:rFonts w:ascii="Arial" w:hAnsi="Arial" w:cs="Arial"/>
                <w:color w:val="auto"/>
              </w:rPr>
            </w:pPr>
            <w:r w:rsidRPr="00490DCE">
              <w:rPr>
                <w:rFonts w:ascii="Arial" w:hAnsi="Arial" w:cs="Arial"/>
                <w:color w:val="auto"/>
              </w:rPr>
              <w:t>July 2014</w:t>
            </w:r>
          </w:p>
        </w:tc>
        <w:tc>
          <w:tcPr>
            <w:tcW w:w="1000" w:type="pct"/>
          </w:tcPr>
          <w:p w14:paraId="547A6BA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7780B95C"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3F38F993"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50BDF8E9" w14:textId="77777777" w:rsidR="004C31D9" w:rsidRPr="00773B15" w:rsidRDefault="004C31D9">
            <w:pPr>
              <w:pStyle w:val="body"/>
              <w:rPr>
                <w:rStyle w:val="bold"/>
                <w:rFonts w:ascii="Arial" w:hAnsi="Arial" w:cs="Arial"/>
                <w:b/>
                <w:color w:val="auto"/>
              </w:rPr>
            </w:pPr>
            <w:r w:rsidRPr="00773B15">
              <w:rPr>
                <w:rStyle w:val="bold"/>
                <w:rFonts w:ascii="Arial" w:hAnsi="Arial" w:cs="Arial"/>
                <w:b/>
                <w:color w:val="auto"/>
              </w:rPr>
              <w:t>Duty Free Allowances – Cigarettes and Tobacco</w:t>
            </w:r>
          </w:p>
          <w:p w14:paraId="2302D884" w14:textId="77777777" w:rsidR="004C31D9" w:rsidRPr="00490DCE" w:rsidRDefault="004C31D9">
            <w:pPr>
              <w:pStyle w:val="body"/>
              <w:rPr>
                <w:rFonts w:ascii="Arial" w:hAnsi="Arial" w:cs="Arial"/>
                <w:color w:val="auto"/>
              </w:rPr>
            </w:pPr>
            <w:r w:rsidRPr="00773B15">
              <w:rPr>
                <w:rStyle w:val="italic"/>
                <w:rFonts w:ascii="Arial" w:hAnsi="Arial" w:cs="Arial"/>
                <w:i/>
                <w:color w:val="auto"/>
                <w:spacing w:val="-2"/>
              </w:rPr>
              <w:t>Reduces the inbound duty free allowance for cigarettes and tobacco for international travellers aged 18 years and over to 50 cigarettes or 50 grams of tobacco, effective from 1 September 2012</w:t>
            </w:r>
            <w:r w:rsidRPr="00490DCE">
              <w:rPr>
                <w:rStyle w:val="italic"/>
                <w:rFonts w:ascii="Arial" w:hAnsi="Arial" w:cs="Arial"/>
                <w:color w:val="auto"/>
                <w:spacing w:val="-2"/>
              </w:rPr>
              <w:t>.</w:t>
            </w:r>
          </w:p>
        </w:tc>
      </w:tr>
      <w:tr w:rsidR="004C31D9" w:rsidRPr="00490DCE" w14:paraId="2AF7BAA8"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07CB4A08"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1CE3CF4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September 2012</w:t>
            </w:r>
          </w:p>
        </w:tc>
        <w:tc>
          <w:tcPr>
            <w:cnfStyle w:val="000010000000" w:firstRow="0" w:lastRow="0" w:firstColumn="0" w:lastColumn="0" w:oddVBand="1" w:evenVBand="0" w:oddHBand="0" w:evenHBand="0" w:firstRowFirstColumn="0" w:firstRowLastColumn="0" w:lastRowFirstColumn="0" w:lastRowLastColumn="0"/>
            <w:tcW w:w="1000" w:type="pct"/>
          </w:tcPr>
          <w:p w14:paraId="6A939D60" w14:textId="77777777" w:rsidR="004C31D9" w:rsidRPr="00490DCE" w:rsidRDefault="004C31D9">
            <w:pPr>
              <w:pStyle w:val="body"/>
              <w:jc w:val="center"/>
              <w:rPr>
                <w:rFonts w:ascii="Arial" w:hAnsi="Arial" w:cs="Arial"/>
                <w:color w:val="auto"/>
              </w:rPr>
            </w:pPr>
            <w:r w:rsidRPr="00490DCE">
              <w:rPr>
                <w:rFonts w:ascii="Arial" w:hAnsi="Arial" w:cs="Arial"/>
                <w:color w:val="auto"/>
              </w:rPr>
              <w:t>September 2014</w:t>
            </w:r>
          </w:p>
        </w:tc>
        <w:tc>
          <w:tcPr>
            <w:tcW w:w="1000" w:type="pct"/>
          </w:tcPr>
          <w:p w14:paraId="3C0949C3"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4B5F882B"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r w:rsidR="004C31D9" w:rsidRPr="00490DCE" w14:paraId="60180072" w14:textId="77777777" w:rsidTr="00775ABB">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5000" w:type="pct"/>
            <w:gridSpan w:val="5"/>
          </w:tcPr>
          <w:p w14:paraId="7CC07B1F" w14:textId="77777777" w:rsidR="004C31D9" w:rsidRPr="00773B15" w:rsidRDefault="004C31D9">
            <w:pPr>
              <w:pStyle w:val="body"/>
              <w:rPr>
                <w:rStyle w:val="bold"/>
                <w:rFonts w:ascii="Arial" w:hAnsi="Arial" w:cs="Arial"/>
                <w:b/>
                <w:color w:val="auto"/>
              </w:rPr>
            </w:pPr>
            <w:r w:rsidRPr="00773B15">
              <w:rPr>
                <w:rStyle w:val="bold"/>
                <w:rFonts w:ascii="Arial" w:hAnsi="Arial" w:cs="Arial"/>
                <w:b/>
                <w:color w:val="auto"/>
              </w:rPr>
              <w:t xml:space="preserve">Stronger Super Reforms – Aspects of </w:t>
            </w:r>
            <w:proofErr w:type="spellStart"/>
            <w:r w:rsidRPr="00773B15">
              <w:rPr>
                <w:rStyle w:val="bold"/>
                <w:rFonts w:ascii="Arial" w:hAnsi="Arial" w:cs="Arial"/>
                <w:b/>
                <w:color w:val="auto"/>
              </w:rPr>
              <w:t>MySuper</w:t>
            </w:r>
            <w:proofErr w:type="spellEnd"/>
          </w:p>
          <w:p w14:paraId="7F404806" w14:textId="77777777" w:rsidR="004C31D9" w:rsidRPr="00490DCE" w:rsidRDefault="004C31D9">
            <w:pPr>
              <w:pStyle w:val="body"/>
              <w:rPr>
                <w:rFonts w:ascii="Arial" w:hAnsi="Arial" w:cs="Arial"/>
                <w:color w:val="auto"/>
              </w:rPr>
            </w:pPr>
            <w:r w:rsidRPr="00773B15">
              <w:rPr>
                <w:rStyle w:val="italic"/>
                <w:rFonts w:ascii="Arial" w:hAnsi="Arial" w:cs="Arial"/>
                <w:i/>
                <w:color w:val="auto"/>
              </w:rPr>
              <w:t xml:space="preserve">The ability of funds to offer tailored </w:t>
            </w:r>
            <w:proofErr w:type="spellStart"/>
            <w:r w:rsidRPr="00773B15">
              <w:rPr>
                <w:rStyle w:val="italic"/>
                <w:rFonts w:ascii="Arial" w:hAnsi="Arial" w:cs="Arial"/>
                <w:i/>
                <w:color w:val="auto"/>
              </w:rPr>
              <w:t>MySuper</w:t>
            </w:r>
            <w:proofErr w:type="spellEnd"/>
            <w:r w:rsidRPr="00773B15">
              <w:rPr>
                <w:rStyle w:val="italic"/>
                <w:rFonts w:ascii="Arial" w:hAnsi="Arial" w:cs="Arial"/>
                <w:i/>
                <w:color w:val="auto"/>
              </w:rPr>
              <w:t xml:space="preserve"> products to employers with more than 500 employees, and extension of the date by which trustees will be required to have transferred the balance of existing default funds into </w:t>
            </w:r>
            <w:proofErr w:type="spellStart"/>
            <w:r w:rsidRPr="00773B15">
              <w:rPr>
                <w:rStyle w:val="italic"/>
                <w:rFonts w:ascii="Arial" w:hAnsi="Arial" w:cs="Arial"/>
                <w:i/>
                <w:color w:val="auto"/>
              </w:rPr>
              <w:t>MySuper</w:t>
            </w:r>
            <w:proofErr w:type="spellEnd"/>
            <w:r w:rsidRPr="00773B15">
              <w:rPr>
                <w:rStyle w:val="italic"/>
                <w:rFonts w:ascii="Arial" w:hAnsi="Arial" w:cs="Arial"/>
                <w:i/>
                <w:color w:val="auto"/>
              </w:rPr>
              <w:t xml:space="preserve"> products</w:t>
            </w:r>
            <w:r w:rsidRPr="00490DCE">
              <w:rPr>
                <w:rStyle w:val="italic"/>
                <w:rFonts w:ascii="Arial" w:hAnsi="Arial" w:cs="Arial"/>
                <w:color w:val="auto"/>
              </w:rPr>
              <w:t>.</w:t>
            </w:r>
          </w:p>
        </w:tc>
      </w:tr>
      <w:tr w:rsidR="004C31D9" w:rsidRPr="00490DCE" w14:paraId="061E75BD" w14:textId="77777777" w:rsidTr="004C31D9">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13D5EF68" w14:textId="77777777" w:rsidR="004C31D9" w:rsidRPr="00490DCE" w:rsidRDefault="004C31D9">
            <w:pPr>
              <w:pStyle w:val="body"/>
              <w:jc w:val="center"/>
              <w:rPr>
                <w:rFonts w:ascii="Arial" w:hAnsi="Arial" w:cs="Arial"/>
                <w:color w:val="auto"/>
              </w:rPr>
            </w:pPr>
            <w:r w:rsidRPr="00490DCE">
              <w:rPr>
                <w:rFonts w:ascii="Arial" w:hAnsi="Arial" w:cs="Arial"/>
                <w:color w:val="auto"/>
              </w:rPr>
              <w:t>E/c</w:t>
            </w:r>
          </w:p>
        </w:tc>
        <w:tc>
          <w:tcPr>
            <w:tcW w:w="1000" w:type="pct"/>
          </w:tcPr>
          <w:p w14:paraId="114E2208"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July 2013</w:t>
            </w:r>
          </w:p>
        </w:tc>
        <w:tc>
          <w:tcPr>
            <w:cnfStyle w:val="000010000000" w:firstRow="0" w:lastRow="0" w:firstColumn="0" w:lastColumn="0" w:oddVBand="1" w:evenVBand="0" w:oddHBand="0" w:evenHBand="0" w:firstRowFirstColumn="0" w:firstRowLastColumn="0" w:lastRowFirstColumn="0" w:lastRowLastColumn="0"/>
            <w:tcW w:w="1000" w:type="pct"/>
          </w:tcPr>
          <w:p w14:paraId="7D7C37B0" w14:textId="77777777" w:rsidR="004C31D9" w:rsidRPr="00490DCE" w:rsidRDefault="004C31D9">
            <w:pPr>
              <w:pStyle w:val="body"/>
              <w:jc w:val="center"/>
              <w:rPr>
                <w:rFonts w:ascii="Arial" w:hAnsi="Arial" w:cs="Arial"/>
                <w:color w:val="auto"/>
              </w:rPr>
            </w:pPr>
            <w:r w:rsidRPr="00490DCE">
              <w:rPr>
                <w:rFonts w:ascii="Arial" w:hAnsi="Arial" w:cs="Arial"/>
                <w:color w:val="auto"/>
              </w:rPr>
              <w:t>July 2015</w:t>
            </w:r>
          </w:p>
        </w:tc>
        <w:tc>
          <w:tcPr>
            <w:tcW w:w="1000" w:type="pct"/>
          </w:tcPr>
          <w:p w14:paraId="21715047" w14:textId="77777777" w:rsidR="004C31D9" w:rsidRPr="00490DCE" w:rsidRDefault="004C31D9">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0" w:type="pct"/>
          </w:tcPr>
          <w:p w14:paraId="132178A8" w14:textId="77777777" w:rsidR="004C31D9" w:rsidRPr="00490DCE" w:rsidRDefault="004C31D9">
            <w:pPr>
              <w:pStyle w:val="body"/>
              <w:jc w:val="center"/>
              <w:rPr>
                <w:rFonts w:ascii="Arial" w:hAnsi="Arial" w:cs="Arial"/>
                <w:color w:val="auto"/>
              </w:rPr>
            </w:pPr>
            <w:r w:rsidRPr="00490DCE">
              <w:rPr>
                <w:rFonts w:ascii="Arial" w:hAnsi="Arial" w:cs="Arial"/>
                <w:color w:val="auto"/>
              </w:rPr>
              <w:t>Compliant</w:t>
            </w:r>
          </w:p>
        </w:tc>
      </w:tr>
    </w:tbl>
    <w:p w14:paraId="599789AF" w14:textId="77777777" w:rsidR="000A5CFA" w:rsidRPr="00490DCE" w:rsidRDefault="000A5CFA">
      <w:pPr>
        <w:pStyle w:val="body"/>
        <w:rPr>
          <w:rFonts w:ascii="Arial" w:hAnsi="Arial" w:cs="Arial"/>
          <w:color w:val="auto"/>
        </w:rPr>
      </w:pPr>
    </w:p>
    <w:p w14:paraId="2589D6FE" w14:textId="77777777" w:rsidR="000A5CFA" w:rsidRPr="00490DCE" w:rsidRDefault="000A5CFA" w:rsidP="00775ABB">
      <w:pPr>
        <w:pStyle w:val="footnote"/>
        <w:rPr>
          <w:rFonts w:cs="Arial"/>
          <w:color w:val="auto"/>
        </w:rPr>
      </w:pPr>
      <w:r w:rsidRPr="00490DCE">
        <w:rPr>
          <w:rFonts w:cs="Arial"/>
          <w:color w:val="auto"/>
        </w:rPr>
        <w:t>*</w:t>
      </w:r>
      <w:r w:rsidR="006D703A" w:rsidRPr="00490DCE">
        <w:rPr>
          <w:rFonts w:cs="Arial"/>
          <w:color w:val="auto"/>
        </w:rPr>
        <w:t xml:space="preserve"> </w:t>
      </w:r>
      <w:r w:rsidRPr="00490DCE">
        <w:rPr>
          <w:rFonts w:cs="Arial"/>
          <w:color w:val="auto"/>
        </w:rPr>
        <w:t>The OBPR has agreed to allow Treasury additional time to finalise the PIR.</w:t>
      </w:r>
      <w:r w:rsidRPr="00490DCE">
        <w:rPr>
          <w:rFonts w:cs="Arial"/>
          <w:color w:val="auto"/>
        </w:rPr>
        <w:br/>
      </w:r>
      <w:proofErr w:type="spellStart"/>
      <w:proofErr w:type="gramStart"/>
      <w:r w:rsidRPr="00490DCE">
        <w:rPr>
          <w:rStyle w:val="super"/>
          <w:rFonts w:cs="Arial"/>
          <w:color w:val="auto"/>
        </w:rPr>
        <w:t>a</w:t>
      </w:r>
      <w:proofErr w:type="spellEnd"/>
      <w:proofErr w:type="gramEnd"/>
      <w:r w:rsidRPr="00490DCE">
        <w:rPr>
          <w:rFonts w:cs="Arial"/>
          <w:color w:val="auto"/>
        </w:rPr>
        <w:t xml:space="preserve"> Elements of this proposal have been subject to regulatory impact analysis (through separate RISs), and therefore will not need to be considered by the PIR. </w:t>
      </w:r>
      <w:r w:rsidRPr="00490DCE">
        <w:rPr>
          <w:rFonts w:cs="Arial"/>
          <w:color w:val="auto"/>
        </w:rPr>
        <w:br/>
        <w:t>E/c Exceptional circumstances were granted by the Prime Minister</w:t>
      </w:r>
    </w:p>
    <w:p w14:paraId="34098EA3" w14:textId="77777777" w:rsidR="000A5CFA" w:rsidRPr="00490DCE" w:rsidRDefault="000A5CFA" w:rsidP="00775ABB">
      <w:pPr>
        <w:pStyle w:val="footnote"/>
        <w:rPr>
          <w:rFonts w:cs="Arial"/>
          <w:color w:val="auto"/>
        </w:rPr>
      </w:pPr>
      <w:r w:rsidRPr="00490DCE">
        <w:rPr>
          <w:rFonts w:cs="Arial"/>
          <w:color w:val="auto"/>
        </w:rPr>
        <w:t>.. Not applicable</w:t>
      </w:r>
    </w:p>
    <w:p w14:paraId="5109F7C7" w14:textId="77777777" w:rsidR="000B3D08" w:rsidRDefault="000B3D08">
      <w:pPr>
        <w:suppressAutoHyphens w:val="0"/>
        <w:spacing w:after="0"/>
        <w:rPr>
          <w:rFonts w:eastAsiaTheme="majorEastAsia" w:cs="Arial"/>
          <w:b/>
          <w:bCs/>
          <w:sz w:val="26"/>
          <w:szCs w:val="26"/>
          <w:lang w:val="en-US"/>
        </w:rPr>
      </w:pPr>
      <w:r>
        <w:rPr>
          <w:rFonts w:cs="Arial"/>
          <w:lang w:val="en-US"/>
        </w:rPr>
        <w:br w:type="page"/>
      </w:r>
    </w:p>
    <w:p w14:paraId="6DB1DE2D" w14:textId="2DA94006" w:rsidR="000A5CFA" w:rsidRPr="00490DCE" w:rsidRDefault="000A5CFA" w:rsidP="006D703A">
      <w:pPr>
        <w:pStyle w:val="Heading3"/>
        <w:rPr>
          <w:rFonts w:cs="Arial"/>
          <w:lang w:val="en-US"/>
        </w:rPr>
      </w:pPr>
      <w:r w:rsidRPr="00490DCE">
        <w:rPr>
          <w:rFonts w:cs="Arial"/>
          <w:lang w:val="en-US"/>
        </w:rPr>
        <w:lastRenderedPageBreak/>
        <w:t>5.2 Joint Proposals</w:t>
      </w:r>
    </w:p>
    <w:p w14:paraId="5BA551D1" w14:textId="77777777" w:rsidR="000A5CFA" w:rsidRPr="00490DCE" w:rsidRDefault="000A5CFA">
      <w:pPr>
        <w:pStyle w:val="tabletitle"/>
        <w:rPr>
          <w:rFonts w:cs="Arial"/>
        </w:rPr>
      </w:pPr>
      <w:r w:rsidRPr="00490DCE">
        <w:rPr>
          <w:rFonts w:cs="Arial"/>
        </w:rPr>
        <w:t>5.2.1 Defence/ Resources, Energy and Tourism</w:t>
      </w:r>
    </w:p>
    <w:tbl>
      <w:tblPr>
        <w:tblStyle w:val="LightList"/>
        <w:tblW w:w="5000" w:type="pct"/>
        <w:tblLook w:val="0020" w:firstRow="1" w:lastRow="0" w:firstColumn="0" w:lastColumn="0" w:noHBand="0" w:noVBand="0"/>
        <w:tblDescription w:val="Post-implementation Review compliance status by agency - Joint proposals"/>
      </w:tblPr>
      <w:tblGrid>
        <w:gridCol w:w="1969"/>
        <w:gridCol w:w="1969"/>
        <w:gridCol w:w="1970"/>
        <w:gridCol w:w="1970"/>
        <w:gridCol w:w="1970"/>
      </w:tblGrid>
      <w:tr w:rsidR="000A5CFA" w:rsidRPr="00490DCE" w14:paraId="7B5F0FC8" w14:textId="77777777" w:rsidTr="0033158E">
        <w:trPr>
          <w:cnfStyle w:val="100000000000" w:firstRow="1" w:lastRow="0" w:firstColumn="0" w:lastColumn="0" w:oddVBand="0" w:evenVBand="0" w:oddHBand="0" w:evenHBand="0" w:firstRowFirstColumn="0" w:firstRowLastColumn="0" w:lastRowFirstColumn="0" w:lastRowLastColumn="0"/>
          <w:trHeight w:val="340"/>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7040A74C" w14:textId="77777777" w:rsidR="000A5CFA" w:rsidRPr="00490DCE" w:rsidRDefault="000A5CFA" w:rsidP="00807131">
            <w:pPr>
              <w:pStyle w:val="tablehead"/>
              <w:outlineLvl w:val="3"/>
              <w:rPr>
                <w:rFonts w:ascii="Arial" w:hAnsi="Arial" w:cs="Arial"/>
                <w:color w:val="auto"/>
              </w:rPr>
            </w:pPr>
            <w:r w:rsidRPr="00490DCE">
              <w:rPr>
                <w:rStyle w:val="bold"/>
                <w:rFonts w:ascii="Arial" w:hAnsi="Arial" w:cs="Arial"/>
                <w:color w:val="auto"/>
              </w:rPr>
              <w:t>Title of regulatory proposal</w:t>
            </w:r>
          </w:p>
        </w:tc>
      </w:tr>
      <w:tr w:rsidR="000A5CFA" w:rsidRPr="00490DCE" w14:paraId="182A1ED8"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5000" w:type="pct"/>
            <w:gridSpan w:val="5"/>
          </w:tcPr>
          <w:p w14:paraId="08ED718F" w14:textId="77777777" w:rsidR="000A5CFA" w:rsidRPr="0033158E" w:rsidRDefault="000A5CFA" w:rsidP="00807131">
            <w:pPr>
              <w:pStyle w:val="tablehead"/>
              <w:outlineLvl w:val="3"/>
              <w:rPr>
                <w:rFonts w:ascii="Arial" w:hAnsi="Arial" w:cs="Arial"/>
                <w:b w:val="0"/>
                <w:i/>
                <w:color w:val="auto"/>
              </w:rPr>
            </w:pPr>
            <w:r w:rsidRPr="0033158E">
              <w:rPr>
                <w:rStyle w:val="italic"/>
                <w:rFonts w:ascii="Arial" w:hAnsi="Arial" w:cs="Arial"/>
                <w:b w:val="0"/>
                <w:i/>
                <w:color w:val="auto"/>
              </w:rPr>
              <w:t>Description of regulatory proposal</w:t>
            </w:r>
          </w:p>
        </w:tc>
      </w:tr>
      <w:tr w:rsidR="000A5CFA" w:rsidRPr="00490DCE" w14:paraId="4771E0A2" w14:textId="77777777" w:rsidTr="0033158E">
        <w:trPr>
          <w:cnfStyle w:val="100000000000" w:firstRow="1" w:lastRow="0" w:firstColumn="0" w:lastColumn="0" w:oddVBand="0" w:evenVBand="0" w:oddHBand="0" w:evenHBand="0" w:firstRowFirstColumn="0" w:firstRowLastColumn="0" w:lastRowFirstColumn="0" w:lastRowLastColumn="0"/>
          <w:trHeight w:val="418"/>
          <w:tblHeader/>
        </w:trPr>
        <w:tc>
          <w:tcPr>
            <w:cnfStyle w:val="000010000000" w:firstRow="0" w:lastRow="0" w:firstColumn="0" w:lastColumn="0" w:oddVBand="1" w:evenVBand="0" w:oddHBand="0" w:evenHBand="0" w:firstRowFirstColumn="0" w:firstRowLastColumn="0" w:lastRowFirstColumn="0" w:lastRowLastColumn="0"/>
            <w:tcW w:w="1000" w:type="pct"/>
          </w:tcPr>
          <w:p w14:paraId="22EDF82C"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Reason for PIR</w:t>
            </w:r>
          </w:p>
        </w:tc>
        <w:tc>
          <w:tcPr>
            <w:tcW w:w="1000" w:type="pct"/>
          </w:tcPr>
          <w:p w14:paraId="1E567033"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Date of implementation</w:t>
            </w:r>
          </w:p>
        </w:tc>
        <w:tc>
          <w:tcPr>
            <w:cnfStyle w:val="000010000000" w:firstRow="0" w:lastRow="0" w:firstColumn="0" w:lastColumn="0" w:oddVBand="1" w:evenVBand="0" w:oddHBand="0" w:evenHBand="0" w:firstRowFirstColumn="0" w:firstRowLastColumn="0" w:lastRowFirstColumn="0" w:lastRowLastColumn="0"/>
            <w:tcW w:w="1000" w:type="pct"/>
          </w:tcPr>
          <w:p w14:paraId="751B218D"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Date PIR to commence</w:t>
            </w:r>
          </w:p>
        </w:tc>
        <w:tc>
          <w:tcPr>
            <w:tcW w:w="1000" w:type="pct"/>
          </w:tcPr>
          <w:p w14:paraId="2CE313F0" w14:textId="77777777" w:rsidR="000A5CFA" w:rsidRPr="0033158E" w:rsidRDefault="000A5CFA" w:rsidP="00807131">
            <w:pPr>
              <w:pStyle w:val="tablehead"/>
              <w:jc w:val="center"/>
              <w:outlineLvl w:val="3"/>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33158E">
              <w:rPr>
                <w:rFonts w:ascii="Arial" w:hAnsi="Arial" w:cs="Arial"/>
                <w:b w:val="0"/>
                <w:color w:val="auto"/>
              </w:rPr>
              <w:t>PIR</w:t>
            </w:r>
            <w:r w:rsidRPr="0033158E">
              <w:rPr>
                <w:rFonts w:ascii="Arial" w:hAnsi="Arial" w:cs="Arial"/>
                <w:b w:val="0"/>
                <w:color w:val="auto"/>
              </w:rPr>
              <w:br/>
              <w:t>status</w:t>
            </w:r>
          </w:p>
        </w:tc>
        <w:tc>
          <w:tcPr>
            <w:cnfStyle w:val="000010000000" w:firstRow="0" w:lastRow="0" w:firstColumn="0" w:lastColumn="0" w:oddVBand="1" w:evenVBand="0" w:oddHBand="0" w:evenHBand="0" w:firstRowFirstColumn="0" w:firstRowLastColumn="0" w:lastRowFirstColumn="0" w:lastRowLastColumn="0"/>
            <w:tcW w:w="1001" w:type="pct"/>
          </w:tcPr>
          <w:p w14:paraId="1E809F74" w14:textId="77777777" w:rsidR="000A5CFA" w:rsidRPr="0033158E" w:rsidRDefault="000A5CFA" w:rsidP="00807131">
            <w:pPr>
              <w:pStyle w:val="tablehead"/>
              <w:jc w:val="center"/>
              <w:outlineLvl w:val="3"/>
              <w:rPr>
                <w:rFonts w:ascii="Arial" w:hAnsi="Arial" w:cs="Arial"/>
                <w:b w:val="0"/>
                <w:color w:val="auto"/>
              </w:rPr>
            </w:pPr>
            <w:r w:rsidRPr="0033158E">
              <w:rPr>
                <w:rFonts w:ascii="Arial" w:hAnsi="Arial" w:cs="Arial"/>
                <w:b w:val="0"/>
                <w:color w:val="auto"/>
              </w:rPr>
              <w:t>PIR compliance</w:t>
            </w:r>
          </w:p>
        </w:tc>
      </w:tr>
      <w:tr w:rsidR="000A5CFA" w:rsidRPr="00490DCE" w14:paraId="7FC16C61" w14:textId="77777777" w:rsidTr="00775ABB">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5000" w:type="pct"/>
            <w:gridSpan w:val="5"/>
          </w:tcPr>
          <w:p w14:paraId="76C3893B" w14:textId="77777777" w:rsidR="000A5CFA" w:rsidRPr="00673FFE" w:rsidRDefault="000A5CFA">
            <w:pPr>
              <w:pStyle w:val="body"/>
              <w:rPr>
                <w:rStyle w:val="bold"/>
                <w:rFonts w:ascii="Arial" w:hAnsi="Arial" w:cs="Arial"/>
                <w:b/>
                <w:color w:val="auto"/>
              </w:rPr>
            </w:pPr>
            <w:r w:rsidRPr="00673FFE">
              <w:rPr>
                <w:rStyle w:val="bold"/>
                <w:rFonts w:ascii="Arial" w:hAnsi="Arial" w:cs="Arial"/>
                <w:b/>
                <w:color w:val="auto"/>
              </w:rPr>
              <w:t xml:space="preserve">Government’s Response to the Review of the </w:t>
            </w:r>
            <w:proofErr w:type="spellStart"/>
            <w:r w:rsidRPr="00673FFE">
              <w:rPr>
                <w:rStyle w:val="bold"/>
                <w:rFonts w:ascii="Arial" w:hAnsi="Arial" w:cs="Arial"/>
                <w:b/>
                <w:color w:val="auto"/>
              </w:rPr>
              <w:t>Woomera</w:t>
            </w:r>
            <w:proofErr w:type="spellEnd"/>
            <w:r w:rsidRPr="00673FFE">
              <w:rPr>
                <w:rStyle w:val="bold"/>
                <w:rFonts w:ascii="Arial" w:hAnsi="Arial" w:cs="Arial"/>
                <w:b/>
                <w:color w:val="auto"/>
              </w:rPr>
              <w:t xml:space="preserve"> Prohibited Area (Defence/DRET)</w:t>
            </w:r>
          </w:p>
          <w:p w14:paraId="4674893B" w14:textId="77777777" w:rsidR="000A5CFA" w:rsidRPr="00490DCE" w:rsidRDefault="000A5CFA">
            <w:pPr>
              <w:pStyle w:val="body"/>
              <w:rPr>
                <w:rFonts w:ascii="Arial" w:hAnsi="Arial" w:cs="Arial"/>
                <w:color w:val="auto"/>
              </w:rPr>
            </w:pPr>
            <w:r w:rsidRPr="00673FFE">
              <w:rPr>
                <w:rStyle w:val="italic"/>
                <w:rFonts w:ascii="Arial" w:hAnsi="Arial" w:cs="Arial"/>
                <w:i/>
                <w:color w:val="auto"/>
              </w:rPr>
              <w:t xml:space="preserve">Implements a new framework for managing Department of Defence and non-Defence use of the </w:t>
            </w:r>
            <w:proofErr w:type="spellStart"/>
            <w:r w:rsidRPr="00673FFE">
              <w:rPr>
                <w:rStyle w:val="italic"/>
                <w:rFonts w:ascii="Arial" w:hAnsi="Arial" w:cs="Arial"/>
                <w:i/>
                <w:color w:val="auto"/>
              </w:rPr>
              <w:t>Woomera</w:t>
            </w:r>
            <w:proofErr w:type="spellEnd"/>
            <w:r w:rsidRPr="00673FFE">
              <w:rPr>
                <w:rStyle w:val="italic"/>
                <w:rFonts w:ascii="Arial" w:hAnsi="Arial" w:cs="Arial"/>
                <w:i/>
                <w:color w:val="auto"/>
              </w:rPr>
              <w:t xml:space="preserve"> Prohibited Area</w:t>
            </w:r>
            <w:r w:rsidRPr="00490DCE">
              <w:rPr>
                <w:rStyle w:val="italic"/>
                <w:rFonts w:ascii="Arial" w:hAnsi="Arial" w:cs="Arial"/>
                <w:color w:val="auto"/>
              </w:rPr>
              <w:t>.</w:t>
            </w:r>
          </w:p>
        </w:tc>
      </w:tr>
      <w:tr w:rsidR="000A5CFA" w:rsidRPr="00490DCE" w14:paraId="26BD0F6F" w14:textId="77777777" w:rsidTr="00775ABB">
        <w:trPr>
          <w:trHeight w:val="315"/>
        </w:trPr>
        <w:tc>
          <w:tcPr>
            <w:cnfStyle w:val="000010000000" w:firstRow="0" w:lastRow="0" w:firstColumn="0" w:lastColumn="0" w:oddVBand="1" w:evenVBand="0" w:oddHBand="0" w:evenHBand="0" w:firstRowFirstColumn="0" w:firstRowLastColumn="0" w:lastRowFirstColumn="0" w:lastRowLastColumn="0"/>
            <w:tcW w:w="1000" w:type="pct"/>
          </w:tcPr>
          <w:p w14:paraId="3A67BE2C" w14:textId="77777777" w:rsidR="000A5CFA" w:rsidRPr="00490DCE" w:rsidRDefault="000A5CFA">
            <w:pPr>
              <w:pStyle w:val="body"/>
              <w:jc w:val="center"/>
              <w:rPr>
                <w:rFonts w:ascii="Arial" w:hAnsi="Arial" w:cs="Arial"/>
                <w:color w:val="auto"/>
              </w:rPr>
            </w:pPr>
            <w:r w:rsidRPr="00490DCE">
              <w:rPr>
                <w:rFonts w:ascii="Arial" w:hAnsi="Arial" w:cs="Arial"/>
                <w:color w:val="auto"/>
              </w:rPr>
              <w:t>E/c</w:t>
            </w:r>
          </w:p>
        </w:tc>
        <w:tc>
          <w:tcPr>
            <w:tcW w:w="1000" w:type="pct"/>
          </w:tcPr>
          <w:p w14:paraId="38F77E6B"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implemented</w:t>
            </w:r>
            <w:r w:rsidRPr="00490DCE">
              <w:rPr>
                <w:rStyle w:val="super"/>
                <w:rFonts w:cs="Arial"/>
                <w:color w:val="auto"/>
              </w:rPr>
              <w:t>a</w:t>
            </w:r>
          </w:p>
        </w:tc>
        <w:tc>
          <w:tcPr>
            <w:cnfStyle w:val="000010000000" w:firstRow="0" w:lastRow="0" w:firstColumn="0" w:lastColumn="0" w:oddVBand="1" w:evenVBand="0" w:oddHBand="0" w:evenHBand="0" w:firstRowFirstColumn="0" w:firstRowLastColumn="0" w:lastRowFirstColumn="0" w:lastRowLastColumn="0"/>
            <w:tcW w:w="1000" w:type="pct"/>
          </w:tcPr>
          <w:p w14:paraId="09B99FF2" w14:textId="77777777" w:rsidR="000A5CFA" w:rsidRPr="00490DCE" w:rsidRDefault="000A5CFA">
            <w:pPr>
              <w:pStyle w:val="body"/>
              <w:jc w:val="center"/>
              <w:rPr>
                <w:rFonts w:ascii="Arial" w:hAnsi="Arial" w:cs="Arial"/>
                <w:color w:val="auto"/>
              </w:rPr>
            </w:pPr>
            <w:r w:rsidRPr="00490DCE">
              <w:rPr>
                <w:rFonts w:ascii="Arial" w:hAnsi="Arial" w:cs="Arial"/>
                <w:color w:val="auto"/>
              </w:rPr>
              <w:t>..</w:t>
            </w:r>
          </w:p>
        </w:tc>
        <w:tc>
          <w:tcPr>
            <w:tcW w:w="1000" w:type="pct"/>
          </w:tcPr>
          <w:p w14:paraId="3139CEEC" w14:textId="77777777" w:rsidR="000A5CFA" w:rsidRPr="00490DCE" w:rsidRDefault="000A5CFA">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490DCE">
              <w:rPr>
                <w:rFonts w:ascii="Arial" w:hAnsi="Arial" w:cs="Arial"/>
                <w:color w:val="auto"/>
              </w:rPr>
              <w:t>Not started</w:t>
            </w:r>
          </w:p>
        </w:tc>
        <w:tc>
          <w:tcPr>
            <w:cnfStyle w:val="000010000000" w:firstRow="0" w:lastRow="0" w:firstColumn="0" w:lastColumn="0" w:oddVBand="1" w:evenVBand="0" w:oddHBand="0" w:evenHBand="0" w:firstRowFirstColumn="0" w:firstRowLastColumn="0" w:lastRowFirstColumn="0" w:lastRowLastColumn="0"/>
            <w:tcW w:w="1001" w:type="pct"/>
          </w:tcPr>
          <w:p w14:paraId="11C3FC91" w14:textId="77777777" w:rsidR="000A5CFA" w:rsidRPr="00490DCE" w:rsidRDefault="000A5CFA">
            <w:pPr>
              <w:pStyle w:val="body"/>
              <w:jc w:val="center"/>
              <w:rPr>
                <w:rFonts w:ascii="Arial" w:hAnsi="Arial" w:cs="Arial"/>
                <w:color w:val="auto"/>
              </w:rPr>
            </w:pPr>
            <w:r w:rsidRPr="00490DCE">
              <w:rPr>
                <w:rFonts w:ascii="Arial" w:hAnsi="Arial" w:cs="Arial"/>
                <w:color w:val="auto"/>
              </w:rPr>
              <w:t>Compliant</w:t>
            </w:r>
          </w:p>
        </w:tc>
      </w:tr>
    </w:tbl>
    <w:p w14:paraId="3E05D71D" w14:textId="77777777" w:rsidR="000A5CFA" w:rsidRPr="00490DCE" w:rsidRDefault="000A5CFA">
      <w:pPr>
        <w:pStyle w:val="tabletitle"/>
        <w:ind w:left="0" w:firstLine="0"/>
        <w:rPr>
          <w:rFonts w:cs="Arial"/>
        </w:rPr>
      </w:pPr>
    </w:p>
    <w:p w14:paraId="011A3973" w14:textId="77777777" w:rsidR="000A5CFA" w:rsidRPr="00490DCE" w:rsidRDefault="000A5CFA" w:rsidP="00775ABB">
      <w:pPr>
        <w:pStyle w:val="footnote"/>
        <w:rPr>
          <w:rFonts w:cs="Arial"/>
          <w:color w:val="auto"/>
        </w:rPr>
      </w:pPr>
      <w:proofErr w:type="spellStart"/>
      <w:proofErr w:type="gramStart"/>
      <w:r w:rsidRPr="00490DCE">
        <w:rPr>
          <w:rStyle w:val="super"/>
          <w:rFonts w:cs="Arial"/>
          <w:color w:val="auto"/>
        </w:rPr>
        <w:t>a</w:t>
      </w:r>
      <w:proofErr w:type="spellEnd"/>
      <w:proofErr w:type="gramEnd"/>
      <w:r w:rsidRPr="00490DCE">
        <w:rPr>
          <w:rFonts w:cs="Arial"/>
          <w:color w:val="auto"/>
        </w:rPr>
        <w:t xml:space="preserve"> The first stage of the Government response was implemented on 3 May 2011 with other parts yet to </w:t>
      </w:r>
      <w:r w:rsidRPr="00490DCE">
        <w:rPr>
          <w:rFonts w:cs="Arial"/>
          <w:color w:val="auto"/>
        </w:rPr>
        <w:br/>
        <w:t>be implemented.</w:t>
      </w:r>
    </w:p>
    <w:p w14:paraId="661A8FF2" w14:textId="77777777" w:rsidR="000A5CFA" w:rsidRPr="00490DCE" w:rsidRDefault="000A5CFA">
      <w:pPr>
        <w:pStyle w:val="note"/>
        <w:rPr>
          <w:rFonts w:cs="Arial"/>
          <w:color w:val="auto"/>
        </w:rPr>
      </w:pPr>
      <w:r w:rsidRPr="00490DCE">
        <w:rPr>
          <w:rFonts w:cs="Arial"/>
          <w:color w:val="auto"/>
        </w:rPr>
        <w:t>E/c Exceptional circumstances were granted by the Prime Minister</w:t>
      </w:r>
      <w:r w:rsidRPr="00490DCE">
        <w:rPr>
          <w:rFonts w:cs="Arial"/>
          <w:color w:val="auto"/>
        </w:rPr>
        <w:br/>
      </w:r>
      <w:proofErr w:type="gramStart"/>
      <w:r w:rsidRPr="00490DCE">
        <w:rPr>
          <w:rFonts w:cs="Arial"/>
          <w:color w:val="auto"/>
        </w:rPr>
        <w:t>..</w:t>
      </w:r>
      <w:proofErr w:type="gramEnd"/>
      <w:r w:rsidRPr="00490DCE">
        <w:rPr>
          <w:rFonts w:cs="Arial"/>
          <w:color w:val="auto"/>
        </w:rPr>
        <w:t xml:space="preserve"> Not applicable</w:t>
      </w:r>
    </w:p>
    <w:sectPr w:rsidR="000A5CFA" w:rsidRPr="00490DCE" w:rsidSect="00E804F7">
      <w:footerReference w:type="even" r:id="rId15"/>
      <w:footerReference w:type="default" r:id="rId16"/>
      <w:pgSz w:w="11900" w:h="16840"/>
      <w:pgMar w:top="1418"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D5A456" w14:textId="77777777" w:rsidR="00254523" w:rsidRDefault="00254523">
      <w:pPr>
        <w:spacing w:after="0"/>
      </w:pPr>
      <w:r>
        <w:separator/>
      </w:r>
    </w:p>
  </w:endnote>
  <w:endnote w:type="continuationSeparator" w:id="0">
    <w:p w14:paraId="68296EB4" w14:textId="77777777" w:rsidR="00254523" w:rsidRDefault="00254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Interstate-Regular">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merican Typewriter Light">
    <w:altName w:val="Arial"/>
    <w:charset w:val="00"/>
    <w:family w:val="auto"/>
    <w:pitch w:val="variable"/>
    <w:sig w:usb0="00000001" w:usb1="00000019" w:usb2="00000000" w:usb3="00000000" w:csb0="0000011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48ADF" w14:textId="77777777" w:rsidR="00254523" w:rsidRDefault="00254523" w:rsidP="00D87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B07277" w14:textId="77777777" w:rsidR="00254523" w:rsidRDefault="00254523" w:rsidP="00D871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C5D18" w14:textId="77777777" w:rsidR="00254523" w:rsidRDefault="00254523" w:rsidP="00D871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2DD">
      <w:rPr>
        <w:rStyle w:val="PageNumber"/>
        <w:noProof/>
      </w:rPr>
      <w:t>56</w:t>
    </w:r>
    <w:r>
      <w:rPr>
        <w:rStyle w:val="PageNumber"/>
      </w:rPr>
      <w:fldChar w:fldCharType="end"/>
    </w:r>
  </w:p>
  <w:p w14:paraId="5ADC1D49" w14:textId="77777777" w:rsidR="00254523" w:rsidRDefault="00254523" w:rsidP="00D871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71E23" w14:textId="77777777" w:rsidR="00254523" w:rsidRDefault="00254523">
      <w:pPr>
        <w:spacing w:after="0"/>
      </w:pPr>
      <w:r>
        <w:separator/>
      </w:r>
    </w:p>
  </w:footnote>
  <w:footnote w:type="continuationSeparator" w:id="0">
    <w:p w14:paraId="6E2EDC8E" w14:textId="77777777" w:rsidR="00254523" w:rsidRDefault="00254523">
      <w:pPr>
        <w:spacing w:after="0"/>
      </w:pPr>
      <w:r>
        <w:continuationSeparator/>
      </w:r>
    </w:p>
  </w:footnote>
  <w:footnote w:id="1">
    <w:p w14:paraId="41708B7A" w14:textId="77777777" w:rsidR="00254523" w:rsidRDefault="00254523" w:rsidP="00C36262">
      <w:pPr>
        <w:pStyle w:val="footnote"/>
      </w:pPr>
      <w:r>
        <w:rPr>
          <w:vertAlign w:val="superscript"/>
        </w:rPr>
        <w:footnoteRef/>
      </w:r>
      <w:r>
        <w:t xml:space="preserve"> </w:t>
      </w:r>
      <w:proofErr w:type="spellStart"/>
      <w:r>
        <w:t>Borthwick</w:t>
      </w:r>
      <w:proofErr w:type="spellEnd"/>
      <w:r>
        <w:t xml:space="preserve">, D &amp; Milliner R, 2012, </w:t>
      </w:r>
      <w:r w:rsidRPr="008F50D3">
        <w:rPr>
          <w:rStyle w:val="italic"/>
          <w:i/>
        </w:rPr>
        <w:t>Independent Review of the Australian Government’s Regulatory Impact Analysis</w:t>
      </w:r>
      <w:r>
        <w:rPr>
          <w:rStyle w:val="italic"/>
        </w:rPr>
        <w:t xml:space="preserve"> </w:t>
      </w:r>
      <w:r w:rsidRPr="008F50D3">
        <w:rPr>
          <w:rStyle w:val="italic"/>
          <w:i/>
        </w:rPr>
        <w:t>Process</w:t>
      </w:r>
      <w:r>
        <w:t xml:space="preserve">, </w:t>
      </w:r>
      <w:hyperlink r:id="rId1" w:history="1">
        <w:r>
          <w:t>http://www.dpmc.gov.au/deregulation/obpr/riar/docs/independent-review-of-ria-process.pdf</w:t>
        </w:r>
      </w:hyperlink>
      <w:r>
        <w:t xml:space="preserve"> (accessed 5 December 2013).</w:t>
      </w:r>
    </w:p>
  </w:footnote>
  <w:footnote w:id="2">
    <w:p w14:paraId="15A3965F" w14:textId="77777777" w:rsidR="00254523" w:rsidRDefault="00254523">
      <w:pPr>
        <w:pStyle w:val="footnote"/>
      </w:pPr>
      <w:r>
        <w:rPr>
          <w:vertAlign w:val="superscript"/>
        </w:rPr>
        <w:footnoteRef/>
      </w:r>
      <w:r>
        <w:rPr>
          <w:spacing w:val="-2"/>
        </w:rPr>
        <w:t xml:space="preserve"> </w:t>
      </w:r>
      <w:proofErr w:type="gramStart"/>
      <w:r w:rsidRPr="00322B4C">
        <w:rPr>
          <w:rStyle w:val="italic"/>
          <w:i/>
          <w:spacing w:val="-2"/>
        </w:rPr>
        <w:t>OECD (2010), OECD Reviews of Regulatory Reform, Australia, Towards a Seamless National Economy, OECD, Paris</w:t>
      </w:r>
      <w:r>
        <w:rPr>
          <w:rStyle w:val="italic"/>
          <w:spacing w:val="-2"/>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BC2399"/>
    <w:multiLevelType w:val="hybridMultilevel"/>
    <w:tmpl w:val="9FD41780"/>
    <w:lvl w:ilvl="0" w:tplc="AA18CF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4F7"/>
    <w:rsid w:val="00000926"/>
    <w:rsid w:val="00055E5C"/>
    <w:rsid w:val="00066534"/>
    <w:rsid w:val="000A5CFA"/>
    <w:rsid w:val="000A6775"/>
    <w:rsid w:val="000B3D08"/>
    <w:rsid w:val="001117BB"/>
    <w:rsid w:val="00125CF2"/>
    <w:rsid w:val="00146AC9"/>
    <w:rsid w:val="0019227F"/>
    <w:rsid w:val="001C490D"/>
    <w:rsid w:val="001D58BC"/>
    <w:rsid w:val="001D74C3"/>
    <w:rsid w:val="001E00C6"/>
    <w:rsid w:val="001E6EF4"/>
    <w:rsid w:val="00207A8A"/>
    <w:rsid w:val="00232CC0"/>
    <w:rsid w:val="0023720F"/>
    <w:rsid w:val="00254523"/>
    <w:rsid w:val="0026028D"/>
    <w:rsid w:val="002C252F"/>
    <w:rsid w:val="00322B4C"/>
    <w:rsid w:val="0033158E"/>
    <w:rsid w:val="00397586"/>
    <w:rsid w:val="003B20A0"/>
    <w:rsid w:val="003E6887"/>
    <w:rsid w:val="004041E6"/>
    <w:rsid w:val="00481847"/>
    <w:rsid w:val="00484EA1"/>
    <w:rsid w:val="004854B5"/>
    <w:rsid w:val="00490DCE"/>
    <w:rsid w:val="00492615"/>
    <w:rsid w:val="004A0CB1"/>
    <w:rsid w:val="004C1C68"/>
    <w:rsid w:val="004C31D9"/>
    <w:rsid w:val="004C75B7"/>
    <w:rsid w:val="00522CA7"/>
    <w:rsid w:val="0056460D"/>
    <w:rsid w:val="00565B03"/>
    <w:rsid w:val="005758CC"/>
    <w:rsid w:val="00585F48"/>
    <w:rsid w:val="0059551D"/>
    <w:rsid w:val="005A5EC2"/>
    <w:rsid w:val="005E3894"/>
    <w:rsid w:val="00622A71"/>
    <w:rsid w:val="00627A0F"/>
    <w:rsid w:val="00644417"/>
    <w:rsid w:val="0067115F"/>
    <w:rsid w:val="00673FFE"/>
    <w:rsid w:val="00677C46"/>
    <w:rsid w:val="006B12DD"/>
    <w:rsid w:val="006D703A"/>
    <w:rsid w:val="00726510"/>
    <w:rsid w:val="007425EA"/>
    <w:rsid w:val="00773B15"/>
    <w:rsid w:val="00775ABB"/>
    <w:rsid w:val="00795394"/>
    <w:rsid w:val="007B0158"/>
    <w:rsid w:val="007B4265"/>
    <w:rsid w:val="007C5FF9"/>
    <w:rsid w:val="007D5A16"/>
    <w:rsid w:val="007F3181"/>
    <w:rsid w:val="00807131"/>
    <w:rsid w:val="008116A4"/>
    <w:rsid w:val="008D3A9D"/>
    <w:rsid w:val="008F50D3"/>
    <w:rsid w:val="00905D46"/>
    <w:rsid w:val="00913ADF"/>
    <w:rsid w:val="00947FCF"/>
    <w:rsid w:val="009A2499"/>
    <w:rsid w:val="009A5720"/>
    <w:rsid w:val="009E01A1"/>
    <w:rsid w:val="009E01CA"/>
    <w:rsid w:val="009E0739"/>
    <w:rsid w:val="009F5D20"/>
    <w:rsid w:val="00A757F6"/>
    <w:rsid w:val="00A971DC"/>
    <w:rsid w:val="00AB3AC0"/>
    <w:rsid w:val="00AB7EF9"/>
    <w:rsid w:val="00B01AF5"/>
    <w:rsid w:val="00B33148"/>
    <w:rsid w:val="00B41259"/>
    <w:rsid w:val="00B77182"/>
    <w:rsid w:val="00BD3753"/>
    <w:rsid w:val="00BD6802"/>
    <w:rsid w:val="00C36262"/>
    <w:rsid w:val="00CE45CD"/>
    <w:rsid w:val="00D1202E"/>
    <w:rsid w:val="00D6336A"/>
    <w:rsid w:val="00D6541D"/>
    <w:rsid w:val="00D6546A"/>
    <w:rsid w:val="00D70C04"/>
    <w:rsid w:val="00D8715D"/>
    <w:rsid w:val="00E15F55"/>
    <w:rsid w:val="00E229E6"/>
    <w:rsid w:val="00E23705"/>
    <w:rsid w:val="00E27EEB"/>
    <w:rsid w:val="00E804F7"/>
    <w:rsid w:val="00E83657"/>
    <w:rsid w:val="00ED30AB"/>
    <w:rsid w:val="00EF0601"/>
    <w:rsid w:val="00F43F6A"/>
    <w:rsid w:val="00F96BBD"/>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254C3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6262"/>
    <w:pPr>
      <w:suppressAutoHyphens/>
      <w:spacing w:after="120"/>
    </w:pPr>
    <w:rPr>
      <w:rFonts w:ascii="Arial" w:hAnsi="Arial"/>
      <w:sz w:val="22"/>
    </w:rPr>
  </w:style>
  <w:style w:type="paragraph" w:styleId="Heading1">
    <w:name w:val="heading 1"/>
    <w:basedOn w:val="Normal"/>
    <w:next w:val="Normal"/>
    <w:link w:val="Heading1Char"/>
    <w:uiPriority w:val="9"/>
    <w:qFormat/>
    <w:rsid w:val="00565B03"/>
    <w:pPr>
      <w:keepNext/>
      <w:spacing w:before="240" w:after="60"/>
      <w:outlineLvl w:val="0"/>
    </w:pPr>
    <w:rPr>
      <w:rFonts w:eastAsiaTheme="majorEastAsia" w:cstheme="majorBidi"/>
      <w:b/>
      <w:bCs/>
      <w:kern w:val="32"/>
      <w:sz w:val="56"/>
      <w:szCs w:val="32"/>
    </w:rPr>
  </w:style>
  <w:style w:type="paragraph" w:styleId="Heading2">
    <w:name w:val="heading 2"/>
    <w:basedOn w:val="Normal"/>
    <w:next w:val="Normal"/>
    <w:link w:val="Heading2Char"/>
    <w:uiPriority w:val="9"/>
    <w:unhideWhenUsed/>
    <w:qFormat/>
    <w:rsid w:val="00E804F7"/>
    <w:pPr>
      <w:keepNext/>
      <w:spacing w:after="160"/>
      <w:outlineLvl w:val="1"/>
    </w:pPr>
    <w:rPr>
      <w:rFonts w:eastAsiaTheme="majorEastAsia" w:cstheme="majorBidi"/>
      <w:b/>
      <w:bCs/>
      <w:iCs/>
      <w:sz w:val="36"/>
      <w:szCs w:val="28"/>
    </w:rPr>
  </w:style>
  <w:style w:type="paragraph" w:styleId="Heading3">
    <w:name w:val="heading 3"/>
    <w:basedOn w:val="Normal"/>
    <w:next w:val="Normal"/>
    <w:link w:val="Heading3Char"/>
    <w:autoRedefine/>
    <w:uiPriority w:val="9"/>
    <w:unhideWhenUsed/>
    <w:qFormat/>
    <w:rsid w:val="00E804F7"/>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E804F7"/>
    <w:pPr>
      <w:keepNext/>
      <w:spacing w:before="240" w:after="60"/>
      <w:outlineLvl w:val="3"/>
    </w:pPr>
    <w:rPr>
      <w:rFonts w:eastAsiaTheme="minorEastAsia" w:cstheme="min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ody">
    <w:name w:val="body"/>
    <w:basedOn w:val="NoParagraphStyle"/>
    <w:uiPriority w:val="99"/>
    <w:pPr>
      <w:suppressAutoHyphens/>
      <w:spacing w:after="113" w:line="220" w:lineRule="atLeast"/>
    </w:pPr>
    <w:rPr>
      <w:rFonts w:ascii="Interstate-Light" w:hAnsi="Interstate-Light" w:cs="Interstate-Light"/>
      <w:sz w:val="18"/>
      <w:szCs w:val="18"/>
    </w:rPr>
  </w:style>
  <w:style w:type="paragraph" w:customStyle="1" w:styleId="h2">
    <w:name w:val="h2"/>
    <w:basedOn w:val="NoParagraphStyle"/>
    <w:uiPriority w:val="99"/>
    <w:pPr>
      <w:pBdr>
        <w:top w:val="single" w:sz="4" w:space="22" w:color="auto"/>
        <w:bottom w:val="single" w:sz="4" w:space="11" w:color="auto"/>
      </w:pBdr>
      <w:suppressAutoHyphens/>
      <w:spacing w:after="567" w:line="220" w:lineRule="atLeast"/>
    </w:pPr>
    <w:rPr>
      <w:rFonts w:ascii="Interstate-Regular" w:hAnsi="Interstate-Regular" w:cs="Interstate-Regular"/>
      <w:color w:val="EB822A"/>
      <w:sz w:val="30"/>
      <w:szCs w:val="30"/>
    </w:rPr>
  </w:style>
  <w:style w:type="paragraph" w:customStyle="1" w:styleId="h3">
    <w:name w:val="h3"/>
    <w:basedOn w:val="NoParagraphStyle"/>
    <w:uiPriority w:val="99"/>
    <w:pPr>
      <w:tabs>
        <w:tab w:val="left" w:pos="454"/>
      </w:tabs>
      <w:suppressAutoHyphens/>
      <w:spacing w:before="170" w:after="113" w:line="220" w:lineRule="atLeast"/>
    </w:pPr>
    <w:rPr>
      <w:rFonts w:ascii="Interstate-Regular" w:hAnsi="Interstate-Regular" w:cs="Interstate-Regular"/>
      <w:color w:val="EB822A"/>
      <w:sz w:val="26"/>
      <w:szCs w:val="26"/>
    </w:rPr>
  </w:style>
  <w:style w:type="paragraph" w:customStyle="1" w:styleId="h4">
    <w:name w:val="h4"/>
    <w:basedOn w:val="NoParagraphStyle"/>
    <w:uiPriority w:val="99"/>
    <w:pPr>
      <w:suppressAutoHyphens/>
      <w:spacing w:before="170" w:after="113" w:line="220" w:lineRule="atLeast"/>
    </w:pPr>
    <w:rPr>
      <w:rFonts w:ascii="Interstate-Light" w:hAnsi="Interstate-Light" w:cs="Interstate-Light"/>
      <w:color w:val="EB822A"/>
      <w:sz w:val="22"/>
      <w:szCs w:val="22"/>
    </w:rPr>
  </w:style>
  <w:style w:type="paragraph" w:customStyle="1" w:styleId="bullet">
    <w:name w:val="bullet"/>
    <w:basedOn w:val="NoParagraphStyle"/>
    <w:uiPriority w:val="99"/>
    <w:pPr>
      <w:suppressAutoHyphens/>
      <w:spacing w:after="113" w:line="220" w:lineRule="atLeast"/>
      <w:ind w:left="300" w:hanging="300"/>
    </w:pPr>
    <w:rPr>
      <w:rFonts w:ascii="Interstate-Light" w:hAnsi="Interstate-Light" w:cs="Interstate-Light"/>
      <w:sz w:val="18"/>
      <w:szCs w:val="18"/>
    </w:rPr>
  </w:style>
  <w:style w:type="paragraph" w:customStyle="1" w:styleId="indentedbullets">
    <w:name w:val="indented bullets"/>
    <w:basedOn w:val="bullet"/>
    <w:uiPriority w:val="99"/>
    <w:pPr>
      <w:spacing w:after="68"/>
      <w:ind w:left="624"/>
    </w:pPr>
  </w:style>
  <w:style w:type="paragraph" w:customStyle="1" w:styleId="lastindentedbullet">
    <w:name w:val="last indented bullet"/>
    <w:basedOn w:val="indentedbullets"/>
    <w:uiPriority w:val="99"/>
    <w:pPr>
      <w:spacing w:after="170"/>
    </w:pPr>
  </w:style>
  <w:style w:type="paragraph" w:customStyle="1" w:styleId="tabletitle">
    <w:name w:val="table title"/>
    <w:basedOn w:val="NoParagraphStyle"/>
    <w:autoRedefine/>
    <w:uiPriority w:val="99"/>
    <w:qFormat/>
    <w:rsid w:val="000A5CFA"/>
    <w:pPr>
      <w:suppressAutoHyphens/>
      <w:spacing w:before="170" w:after="57"/>
      <w:ind w:left="360" w:hanging="360"/>
    </w:pPr>
    <w:rPr>
      <w:rFonts w:ascii="Arial" w:hAnsi="Arial" w:cs="Interstate-Regular"/>
      <w:b/>
      <w:color w:val="auto"/>
      <w:sz w:val="20"/>
      <w:szCs w:val="20"/>
    </w:rPr>
  </w:style>
  <w:style w:type="paragraph" w:customStyle="1" w:styleId="note">
    <w:name w:val="note"/>
    <w:basedOn w:val="body"/>
    <w:uiPriority w:val="99"/>
    <w:rsid w:val="000A5CFA"/>
    <w:pPr>
      <w:spacing w:line="200" w:lineRule="atLeast"/>
    </w:pPr>
    <w:rPr>
      <w:rFonts w:ascii="Arial" w:hAnsi="Arial"/>
      <w:szCs w:val="16"/>
    </w:rPr>
  </w:style>
  <w:style w:type="paragraph" w:customStyle="1" w:styleId="footnote">
    <w:name w:val="footnote"/>
    <w:basedOn w:val="body"/>
    <w:autoRedefine/>
    <w:uiPriority w:val="99"/>
    <w:qFormat/>
    <w:rsid w:val="00C36262"/>
    <w:pPr>
      <w:tabs>
        <w:tab w:val="left" w:pos="284"/>
      </w:tabs>
      <w:spacing w:line="190" w:lineRule="atLeast"/>
      <w:ind w:left="57" w:hanging="57"/>
    </w:pPr>
    <w:rPr>
      <w:rFonts w:ascii="Arial" w:hAnsi="Arial"/>
      <w:szCs w:val="16"/>
      <w:lang w:val="en-AU"/>
    </w:rPr>
  </w:style>
  <w:style w:type="paragraph" w:customStyle="1" w:styleId="tablehead">
    <w:name w:val="table head"/>
    <w:basedOn w:val="body"/>
    <w:uiPriority w:val="99"/>
    <w:rPr>
      <w:rFonts w:ascii="Interstate-Regular" w:hAnsi="Interstate-Regular" w:cs="Interstate-Regular"/>
      <w:color w:val="FFFFFF"/>
    </w:rPr>
  </w:style>
  <w:style w:type="character" w:customStyle="1" w:styleId="bold">
    <w:name w:val="bold"/>
    <w:uiPriority w:val="99"/>
    <w:rPr>
      <w:rFonts w:ascii="Interstate-Regular" w:hAnsi="Interstate-Regular" w:cs="Interstate-Regular"/>
    </w:rPr>
  </w:style>
  <w:style w:type="character" w:customStyle="1" w:styleId="italic">
    <w:name w:val="italic"/>
    <w:uiPriority w:val="99"/>
  </w:style>
  <w:style w:type="character" w:customStyle="1" w:styleId="super">
    <w:name w:val="super"/>
    <w:uiPriority w:val="99"/>
    <w:rsid w:val="000A5CFA"/>
    <w:rPr>
      <w:rFonts w:ascii="Arial" w:hAnsi="Arial" w:cs="Interstate-Light"/>
      <w:w w:val="100"/>
      <w:position w:val="6"/>
      <w:sz w:val="18"/>
      <w:szCs w:val="14"/>
      <w:vertAlign w:val="baseline"/>
    </w:rPr>
  </w:style>
  <w:style w:type="character" w:customStyle="1" w:styleId="Hyperlink1">
    <w:name w:val="Hyperlink1"/>
    <w:uiPriority w:val="99"/>
    <w:rPr>
      <w:color w:val="EB822A"/>
    </w:rPr>
  </w:style>
  <w:style w:type="character" w:customStyle="1" w:styleId="purplebullet">
    <w:name w:val="purple bullet"/>
    <w:uiPriority w:val="99"/>
    <w:rPr>
      <w:color w:val="EB822A"/>
    </w:rPr>
  </w:style>
  <w:style w:type="character" w:customStyle="1" w:styleId="Heading2Char">
    <w:name w:val="Heading 2 Char"/>
    <w:basedOn w:val="DefaultParagraphFont"/>
    <w:link w:val="Heading2"/>
    <w:uiPriority w:val="9"/>
    <w:rsid w:val="00E804F7"/>
    <w:rPr>
      <w:rFonts w:ascii="Arial" w:eastAsiaTheme="majorEastAsia" w:hAnsi="Arial" w:cstheme="majorBidi"/>
      <w:b/>
      <w:bCs/>
      <w:iCs/>
      <w:sz w:val="36"/>
      <w:szCs w:val="28"/>
    </w:rPr>
  </w:style>
  <w:style w:type="character" w:customStyle="1" w:styleId="Heading3Char">
    <w:name w:val="Heading 3 Char"/>
    <w:basedOn w:val="DefaultParagraphFont"/>
    <w:link w:val="Heading3"/>
    <w:uiPriority w:val="9"/>
    <w:rsid w:val="00E804F7"/>
    <w:rPr>
      <w:rFonts w:ascii="Arial" w:eastAsiaTheme="majorEastAsia" w:hAnsi="Arial" w:cstheme="majorBidi"/>
      <w:b/>
      <w:bCs/>
      <w:sz w:val="26"/>
      <w:szCs w:val="26"/>
    </w:rPr>
  </w:style>
  <w:style w:type="character" w:customStyle="1" w:styleId="Heading4Char">
    <w:name w:val="Heading 4 Char"/>
    <w:basedOn w:val="DefaultParagraphFont"/>
    <w:link w:val="Heading4"/>
    <w:uiPriority w:val="9"/>
    <w:rsid w:val="00E804F7"/>
    <w:rPr>
      <w:rFonts w:ascii="Arial" w:eastAsiaTheme="minorEastAsia" w:hAnsi="Arial" w:cstheme="minorBidi"/>
      <w:b/>
      <w:bCs/>
      <w:sz w:val="24"/>
      <w:szCs w:val="28"/>
    </w:rPr>
  </w:style>
  <w:style w:type="character" w:styleId="Strong">
    <w:name w:val="Strong"/>
    <w:basedOn w:val="DefaultParagraphFont"/>
    <w:uiPriority w:val="22"/>
    <w:qFormat/>
    <w:rsid w:val="00C36262"/>
    <w:rPr>
      <w:rFonts w:ascii="Arial" w:hAnsi="Arial"/>
      <w:b/>
      <w:bCs/>
      <w:sz w:val="22"/>
    </w:rPr>
  </w:style>
  <w:style w:type="paragraph" w:styleId="Quote">
    <w:name w:val="Quote"/>
    <w:basedOn w:val="Normal"/>
    <w:next w:val="Normal"/>
    <w:link w:val="QuoteChar"/>
    <w:uiPriority w:val="29"/>
    <w:rsid w:val="00C36262"/>
    <w:rPr>
      <w:i/>
      <w:iCs/>
      <w:color w:val="000000" w:themeColor="text1"/>
    </w:rPr>
  </w:style>
  <w:style w:type="character" w:customStyle="1" w:styleId="QuoteChar">
    <w:name w:val="Quote Char"/>
    <w:basedOn w:val="DefaultParagraphFont"/>
    <w:link w:val="Quote"/>
    <w:uiPriority w:val="29"/>
    <w:rsid w:val="00C36262"/>
    <w:rPr>
      <w:rFonts w:ascii="Arial" w:hAnsi="Arial"/>
      <w:i/>
      <w:iCs/>
      <w:color w:val="000000" w:themeColor="text1"/>
      <w:sz w:val="22"/>
    </w:rPr>
  </w:style>
  <w:style w:type="paragraph" w:styleId="ListParagraph">
    <w:name w:val="List Paragraph"/>
    <w:basedOn w:val="Normal"/>
    <w:autoRedefine/>
    <w:uiPriority w:val="34"/>
    <w:qFormat/>
    <w:rsid w:val="000A5CFA"/>
    <w:pPr>
      <w:numPr>
        <w:numId w:val="1"/>
      </w:numPr>
      <w:spacing w:after="240"/>
      <w:ind w:left="1077" w:hanging="357"/>
    </w:pPr>
  </w:style>
  <w:style w:type="table" w:styleId="TableGrid">
    <w:name w:val="Table Grid"/>
    <w:basedOn w:val="TableNormal"/>
    <w:uiPriority w:val="59"/>
    <w:rsid w:val="000A5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A5C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A5CF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D70C04"/>
    <w:rPr>
      <w:rFonts w:ascii="Arial" w:hAnsi="Arial"/>
      <w:i/>
      <w:iCs/>
      <w:sz w:val="22"/>
    </w:rPr>
  </w:style>
  <w:style w:type="paragraph" w:customStyle="1" w:styleId="BasicParagraph">
    <w:name w:val="[Basic Paragraph]"/>
    <w:basedOn w:val="NoParagraphStyle"/>
    <w:uiPriority w:val="99"/>
    <w:rsid w:val="00565B03"/>
  </w:style>
  <w:style w:type="character" w:customStyle="1" w:styleId="Heading1Char">
    <w:name w:val="Heading 1 Char"/>
    <w:basedOn w:val="DefaultParagraphFont"/>
    <w:link w:val="Heading1"/>
    <w:uiPriority w:val="9"/>
    <w:rsid w:val="00565B03"/>
    <w:rPr>
      <w:rFonts w:ascii="Arial" w:eastAsiaTheme="majorEastAsia" w:hAnsi="Arial" w:cstheme="majorBidi"/>
      <w:b/>
      <w:bCs/>
      <w:kern w:val="32"/>
      <w:sz w:val="56"/>
      <w:szCs w:val="32"/>
    </w:rPr>
  </w:style>
  <w:style w:type="paragraph" w:styleId="Footer">
    <w:name w:val="footer"/>
    <w:basedOn w:val="Normal"/>
    <w:link w:val="FooterChar"/>
    <w:uiPriority w:val="99"/>
    <w:unhideWhenUsed/>
    <w:rsid w:val="00D8715D"/>
    <w:pPr>
      <w:tabs>
        <w:tab w:val="center" w:pos="4320"/>
        <w:tab w:val="right" w:pos="8640"/>
      </w:tabs>
    </w:pPr>
  </w:style>
  <w:style w:type="character" w:customStyle="1" w:styleId="FooterChar">
    <w:name w:val="Footer Char"/>
    <w:basedOn w:val="DefaultParagraphFont"/>
    <w:link w:val="Footer"/>
    <w:uiPriority w:val="99"/>
    <w:rsid w:val="00D8715D"/>
    <w:rPr>
      <w:rFonts w:ascii="Arial" w:hAnsi="Arial"/>
      <w:sz w:val="22"/>
    </w:rPr>
  </w:style>
  <w:style w:type="character" w:styleId="PageNumber">
    <w:name w:val="page number"/>
    <w:basedOn w:val="DefaultParagraphFont"/>
    <w:uiPriority w:val="99"/>
    <w:semiHidden/>
    <w:unhideWhenUsed/>
    <w:rsid w:val="00D8715D"/>
  </w:style>
  <w:style w:type="paragraph" w:styleId="BalloonText">
    <w:name w:val="Balloon Text"/>
    <w:basedOn w:val="Normal"/>
    <w:link w:val="BalloonTextChar"/>
    <w:uiPriority w:val="99"/>
    <w:semiHidden/>
    <w:unhideWhenUsed/>
    <w:rsid w:val="00490D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DC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6262"/>
    <w:pPr>
      <w:suppressAutoHyphens/>
      <w:spacing w:after="120"/>
    </w:pPr>
    <w:rPr>
      <w:rFonts w:ascii="Arial" w:hAnsi="Arial"/>
      <w:sz w:val="22"/>
    </w:rPr>
  </w:style>
  <w:style w:type="paragraph" w:styleId="Heading1">
    <w:name w:val="heading 1"/>
    <w:basedOn w:val="Normal"/>
    <w:next w:val="Normal"/>
    <w:link w:val="Heading1Char"/>
    <w:uiPriority w:val="9"/>
    <w:qFormat/>
    <w:rsid w:val="00565B03"/>
    <w:pPr>
      <w:keepNext/>
      <w:spacing w:before="240" w:after="60"/>
      <w:outlineLvl w:val="0"/>
    </w:pPr>
    <w:rPr>
      <w:rFonts w:eastAsiaTheme="majorEastAsia" w:cstheme="majorBidi"/>
      <w:b/>
      <w:bCs/>
      <w:kern w:val="32"/>
      <w:sz w:val="56"/>
      <w:szCs w:val="32"/>
    </w:rPr>
  </w:style>
  <w:style w:type="paragraph" w:styleId="Heading2">
    <w:name w:val="heading 2"/>
    <w:basedOn w:val="Normal"/>
    <w:next w:val="Normal"/>
    <w:link w:val="Heading2Char"/>
    <w:uiPriority w:val="9"/>
    <w:unhideWhenUsed/>
    <w:qFormat/>
    <w:rsid w:val="00E804F7"/>
    <w:pPr>
      <w:keepNext/>
      <w:spacing w:after="160"/>
      <w:outlineLvl w:val="1"/>
    </w:pPr>
    <w:rPr>
      <w:rFonts w:eastAsiaTheme="majorEastAsia" w:cstheme="majorBidi"/>
      <w:b/>
      <w:bCs/>
      <w:iCs/>
      <w:sz w:val="36"/>
      <w:szCs w:val="28"/>
    </w:rPr>
  </w:style>
  <w:style w:type="paragraph" w:styleId="Heading3">
    <w:name w:val="heading 3"/>
    <w:basedOn w:val="Normal"/>
    <w:next w:val="Normal"/>
    <w:link w:val="Heading3Char"/>
    <w:autoRedefine/>
    <w:uiPriority w:val="9"/>
    <w:unhideWhenUsed/>
    <w:qFormat/>
    <w:rsid w:val="00E804F7"/>
    <w:pPr>
      <w:keepNext/>
      <w:spacing w:before="240" w:after="60"/>
      <w:outlineLvl w:val="2"/>
    </w:pPr>
    <w:rPr>
      <w:rFonts w:eastAsiaTheme="majorEastAsia" w:cstheme="majorBidi"/>
      <w:b/>
      <w:bCs/>
      <w:sz w:val="26"/>
      <w:szCs w:val="26"/>
    </w:rPr>
  </w:style>
  <w:style w:type="paragraph" w:styleId="Heading4">
    <w:name w:val="heading 4"/>
    <w:basedOn w:val="Normal"/>
    <w:next w:val="Normal"/>
    <w:link w:val="Heading4Char"/>
    <w:uiPriority w:val="9"/>
    <w:unhideWhenUsed/>
    <w:qFormat/>
    <w:rsid w:val="00E804F7"/>
    <w:pPr>
      <w:keepNext/>
      <w:spacing w:before="240" w:after="60"/>
      <w:outlineLvl w:val="3"/>
    </w:pPr>
    <w:rPr>
      <w:rFonts w:eastAsiaTheme="minorEastAsia" w:cstheme="minorBidi"/>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body">
    <w:name w:val="body"/>
    <w:basedOn w:val="NoParagraphStyle"/>
    <w:uiPriority w:val="99"/>
    <w:pPr>
      <w:suppressAutoHyphens/>
      <w:spacing w:after="113" w:line="220" w:lineRule="atLeast"/>
    </w:pPr>
    <w:rPr>
      <w:rFonts w:ascii="Interstate-Light" w:hAnsi="Interstate-Light" w:cs="Interstate-Light"/>
      <w:sz w:val="18"/>
      <w:szCs w:val="18"/>
    </w:rPr>
  </w:style>
  <w:style w:type="paragraph" w:customStyle="1" w:styleId="h2">
    <w:name w:val="h2"/>
    <w:basedOn w:val="NoParagraphStyle"/>
    <w:uiPriority w:val="99"/>
    <w:pPr>
      <w:pBdr>
        <w:top w:val="single" w:sz="4" w:space="22" w:color="auto"/>
        <w:bottom w:val="single" w:sz="4" w:space="11" w:color="auto"/>
      </w:pBdr>
      <w:suppressAutoHyphens/>
      <w:spacing w:after="567" w:line="220" w:lineRule="atLeast"/>
    </w:pPr>
    <w:rPr>
      <w:rFonts w:ascii="Interstate-Regular" w:hAnsi="Interstate-Regular" w:cs="Interstate-Regular"/>
      <w:color w:val="EB822A"/>
      <w:sz w:val="30"/>
      <w:szCs w:val="30"/>
    </w:rPr>
  </w:style>
  <w:style w:type="paragraph" w:customStyle="1" w:styleId="h3">
    <w:name w:val="h3"/>
    <w:basedOn w:val="NoParagraphStyle"/>
    <w:uiPriority w:val="99"/>
    <w:pPr>
      <w:tabs>
        <w:tab w:val="left" w:pos="454"/>
      </w:tabs>
      <w:suppressAutoHyphens/>
      <w:spacing w:before="170" w:after="113" w:line="220" w:lineRule="atLeast"/>
    </w:pPr>
    <w:rPr>
      <w:rFonts w:ascii="Interstate-Regular" w:hAnsi="Interstate-Regular" w:cs="Interstate-Regular"/>
      <w:color w:val="EB822A"/>
      <w:sz w:val="26"/>
      <w:szCs w:val="26"/>
    </w:rPr>
  </w:style>
  <w:style w:type="paragraph" w:customStyle="1" w:styleId="h4">
    <w:name w:val="h4"/>
    <w:basedOn w:val="NoParagraphStyle"/>
    <w:uiPriority w:val="99"/>
    <w:pPr>
      <w:suppressAutoHyphens/>
      <w:spacing w:before="170" w:after="113" w:line="220" w:lineRule="atLeast"/>
    </w:pPr>
    <w:rPr>
      <w:rFonts w:ascii="Interstate-Light" w:hAnsi="Interstate-Light" w:cs="Interstate-Light"/>
      <w:color w:val="EB822A"/>
      <w:sz w:val="22"/>
      <w:szCs w:val="22"/>
    </w:rPr>
  </w:style>
  <w:style w:type="paragraph" w:customStyle="1" w:styleId="bullet">
    <w:name w:val="bullet"/>
    <w:basedOn w:val="NoParagraphStyle"/>
    <w:uiPriority w:val="99"/>
    <w:pPr>
      <w:suppressAutoHyphens/>
      <w:spacing w:after="113" w:line="220" w:lineRule="atLeast"/>
      <w:ind w:left="300" w:hanging="300"/>
    </w:pPr>
    <w:rPr>
      <w:rFonts w:ascii="Interstate-Light" w:hAnsi="Interstate-Light" w:cs="Interstate-Light"/>
      <w:sz w:val="18"/>
      <w:szCs w:val="18"/>
    </w:rPr>
  </w:style>
  <w:style w:type="paragraph" w:customStyle="1" w:styleId="indentedbullets">
    <w:name w:val="indented bullets"/>
    <w:basedOn w:val="bullet"/>
    <w:uiPriority w:val="99"/>
    <w:pPr>
      <w:spacing w:after="68"/>
      <w:ind w:left="624"/>
    </w:pPr>
  </w:style>
  <w:style w:type="paragraph" w:customStyle="1" w:styleId="lastindentedbullet">
    <w:name w:val="last indented bullet"/>
    <w:basedOn w:val="indentedbullets"/>
    <w:uiPriority w:val="99"/>
    <w:pPr>
      <w:spacing w:after="170"/>
    </w:pPr>
  </w:style>
  <w:style w:type="paragraph" w:customStyle="1" w:styleId="tabletitle">
    <w:name w:val="table title"/>
    <w:basedOn w:val="NoParagraphStyle"/>
    <w:autoRedefine/>
    <w:uiPriority w:val="99"/>
    <w:qFormat/>
    <w:rsid w:val="000A5CFA"/>
    <w:pPr>
      <w:suppressAutoHyphens/>
      <w:spacing w:before="170" w:after="57"/>
      <w:ind w:left="360" w:hanging="360"/>
    </w:pPr>
    <w:rPr>
      <w:rFonts w:ascii="Arial" w:hAnsi="Arial" w:cs="Interstate-Regular"/>
      <w:b/>
      <w:color w:val="auto"/>
      <w:sz w:val="20"/>
      <w:szCs w:val="20"/>
    </w:rPr>
  </w:style>
  <w:style w:type="paragraph" w:customStyle="1" w:styleId="note">
    <w:name w:val="note"/>
    <w:basedOn w:val="body"/>
    <w:uiPriority w:val="99"/>
    <w:rsid w:val="000A5CFA"/>
    <w:pPr>
      <w:spacing w:line="200" w:lineRule="atLeast"/>
    </w:pPr>
    <w:rPr>
      <w:rFonts w:ascii="Arial" w:hAnsi="Arial"/>
      <w:szCs w:val="16"/>
    </w:rPr>
  </w:style>
  <w:style w:type="paragraph" w:customStyle="1" w:styleId="footnote">
    <w:name w:val="footnote"/>
    <w:basedOn w:val="body"/>
    <w:autoRedefine/>
    <w:uiPriority w:val="99"/>
    <w:qFormat/>
    <w:rsid w:val="00C36262"/>
    <w:pPr>
      <w:tabs>
        <w:tab w:val="left" w:pos="284"/>
      </w:tabs>
      <w:spacing w:line="190" w:lineRule="atLeast"/>
      <w:ind w:left="57" w:hanging="57"/>
    </w:pPr>
    <w:rPr>
      <w:rFonts w:ascii="Arial" w:hAnsi="Arial"/>
      <w:szCs w:val="16"/>
      <w:lang w:val="en-AU"/>
    </w:rPr>
  </w:style>
  <w:style w:type="paragraph" w:customStyle="1" w:styleId="tablehead">
    <w:name w:val="table head"/>
    <w:basedOn w:val="body"/>
    <w:uiPriority w:val="99"/>
    <w:rPr>
      <w:rFonts w:ascii="Interstate-Regular" w:hAnsi="Interstate-Regular" w:cs="Interstate-Regular"/>
      <w:color w:val="FFFFFF"/>
    </w:rPr>
  </w:style>
  <w:style w:type="character" w:customStyle="1" w:styleId="bold">
    <w:name w:val="bold"/>
    <w:uiPriority w:val="99"/>
    <w:rPr>
      <w:rFonts w:ascii="Interstate-Regular" w:hAnsi="Interstate-Regular" w:cs="Interstate-Regular"/>
    </w:rPr>
  </w:style>
  <w:style w:type="character" w:customStyle="1" w:styleId="italic">
    <w:name w:val="italic"/>
    <w:uiPriority w:val="99"/>
  </w:style>
  <w:style w:type="character" w:customStyle="1" w:styleId="super">
    <w:name w:val="super"/>
    <w:uiPriority w:val="99"/>
    <w:rsid w:val="000A5CFA"/>
    <w:rPr>
      <w:rFonts w:ascii="Arial" w:hAnsi="Arial" w:cs="Interstate-Light"/>
      <w:w w:val="100"/>
      <w:position w:val="6"/>
      <w:sz w:val="18"/>
      <w:szCs w:val="14"/>
      <w:vertAlign w:val="baseline"/>
    </w:rPr>
  </w:style>
  <w:style w:type="character" w:customStyle="1" w:styleId="Hyperlink1">
    <w:name w:val="Hyperlink1"/>
    <w:uiPriority w:val="99"/>
    <w:rPr>
      <w:color w:val="EB822A"/>
    </w:rPr>
  </w:style>
  <w:style w:type="character" w:customStyle="1" w:styleId="purplebullet">
    <w:name w:val="purple bullet"/>
    <w:uiPriority w:val="99"/>
    <w:rPr>
      <w:color w:val="EB822A"/>
    </w:rPr>
  </w:style>
  <w:style w:type="character" w:customStyle="1" w:styleId="Heading2Char">
    <w:name w:val="Heading 2 Char"/>
    <w:basedOn w:val="DefaultParagraphFont"/>
    <w:link w:val="Heading2"/>
    <w:uiPriority w:val="9"/>
    <w:rsid w:val="00E804F7"/>
    <w:rPr>
      <w:rFonts w:ascii="Arial" w:eastAsiaTheme="majorEastAsia" w:hAnsi="Arial" w:cstheme="majorBidi"/>
      <w:b/>
      <w:bCs/>
      <w:iCs/>
      <w:sz w:val="36"/>
      <w:szCs w:val="28"/>
    </w:rPr>
  </w:style>
  <w:style w:type="character" w:customStyle="1" w:styleId="Heading3Char">
    <w:name w:val="Heading 3 Char"/>
    <w:basedOn w:val="DefaultParagraphFont"/>
    <w:link w:val="Heading3"/>
    <w:uiPriority w:val="9"/>
    <w:rsid w:val="00E804F7"/>
    <w:rPr>
      <w:rFonts w:ascii="Arial" w:eastAsiaTheme="majorEastAsia" w:hAnsi="Arial" w:cstheme="majorBidi"/>
      <w:b/>
      <w:bCs/>
      <w:sz w:val="26"/>
      <w:szCs w:val="26"/>
    </w:rPr>
  </w:style>
  <w:style w:type="character" w:customStyle="1" w:styleId="Heading4Char">
    <w:name w:val="Heading 4 Char"/>
    <w:basedOn w:val="DefaultParagraphFont"/>
    <w:link w:val="Heading4"/>
    <w:uiPriority w:val="9"/>
    <w:rsid w:val="00E804F7"/>
    <w:rPr>
      <w:rFonts w:ascii="Arial" w:eastAsiaTheme="minorEastAsia" w:hAnsi="Arial" w:cstheme="minorBidi"/>
      <w:b/>
      <w:bCs/>
      <w:sz w:val="24"/>
      <w:szCs w:val="28"/>
    </w:rPr>
  </w:style>
  <w:style w:type="character" w:styleId="Strong">
    <w:name w:val="Strong"/>
    <w:basedOn w:val="DefaultParagraphFont"/>
    <w:uiPriority w:val="22"/>
    <w:qFormat/>
    <w:rsid w:val="00C36262"/>
    <w:rPr>
      <w:rFonts w:ascii="Arial" w:hAnsi="Arial"/>
      <w:b/>
      <w:bCs/>
      <w:sz w:val="22"/>
    </w:rPr>
  </w:style>
  <w:style w:type="paragraph" w:styleId="Quote">
    <w:name w:val="Quote"/>
    <w:basedOn w:val="Normal"/>
    <w:next w:val="Normal"/>
    <w:link w:val="QuoteChar"/>
    <w:uiPriority w:val="29"/>
    <w:rsid w:val="00C36262"/>
    <w:rPr>
      <w:i/>
      <w:iCs/>
      <w:color w:val="000000" w:themeColor="text1"/>
    </w:rPr>
  </w:style>
  <w:style w:type="character" w:customStyle="1" w:styleId="QuoteChar">
    <w:name w:val="Quote Char"/>
    <w:basedOn w:val="DefaultParagraphFont"/>
    <w:link w:val="Quote"/>
    <w:uiPriority w:val="29"/>
    <w:rsid w:val="00C36262"/>
    <w:rPr>
      <w:rFonts w:ascii="Arial" w:hAnsi="Arial"/>
      <w:i/>
      <w:iCs/>
      <w:color w:val="000000" w:themeColor="text1"/>
      <w:sz w:val="22"/>
    </w:rPr>
  </w:style>
  <w:style w:type="paragraph" w:styleId="ListParagraph">
    <w:name w:val="List Paragraph"/>
    <w:basedOn w:val="Normal"/>
    <w:autoRedefine/>
    <w:uiPriority w:val="34"/>
    <w:qFormat/>
    <w:rsid w:val="000A5CFA"/>
    <w:pPr>
      <w:numPr>
        <w:numId w:val="1"/>
      </w:numPr>
      <w:spacing w:after="240"/>
      <w:ind w:left="1077" w:hanging="357"/>
    </w:pPr>
  </w:style>
  <w:style w:type="table" w:styleId="TableGrid">
    <w:name w:val="Table Grid"/>
    <w:basedOn w:val="TableNormal"/>
    <w:uiPriority w:val="59"/>
    <w:rsid w:val="000A5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A5CF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0A5CF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D70C04"/>
    <w:rPr>
      <w:rFonts w:ascii="Arial" w:hAnsi="Arial"/>
      <w:i/>
      <w:iCs/>
      <w:sz w:val="22"/>
    </w:rPr>
  </w:style>
  <w:style w:type="paragraph" w:customStyle="1" w:styleId="BasicParagraph">
    <w:name w:val="[Basic Paragraph]"/>
    <w:basedOn w:val="NoParagraphStyle"/>
    <w:uiPriority w:val="99"/>
    <w:rsid w:val="00565B03"/>
  </w:style>
  <w:style w:type="character" w:customStyle="1" w:styleId="Heading1Char">
    <w:name w:val="Heading 1 Char"/>
    <w:basedOn w:val="DefaultParagraphFont"/>
    <w:link w:val="Heading1"/>
    <w:uiPriority w:val="9"/>
    <w:rsid w:val="00565B03"/>
    <w:rPr>
      <w:rFonts w:ascii="Arial" w:eastAsiaTheme="majorEastAsia" w:hAnsi="Arial" w:cstheme="majorBidi"/>
      <w:b/>
      <w:bCs/>
      <w:kern w:val="32"/>
      <w:sz w:val="56"/>
      <w:szCs w:val="32"/>
    </w:rPr>
  </w:style>
  <w:style w:type="paragraph" w:styleId="Footer">
    <w:name w:val="footer"/>
    <w:basedOn w:val="Normal"/>
    <w:link w:val="FooterChar"/>
    <w:uiPriority w:val="99"/>
    <w:unhideWhenUsed/>
    <w:rsid w:val="00D8715D"/>
    <w:pPr>
      <w:tabs>
        <w:tab w:val="center" w:pos="4320"/>
        <w:tab w:val="right" w:pos="8640"/>
      </w:tabs>
    </w:pPr>
  </w:style>
  <w:style w:type="character" w:customStyle="1" w:styleId="FooterChar">
    <w:name w:val="Footer Char"/>
    <w:basedOn w:val="DefaultParagraphFont"/>
    <w:link w:val="Footer"/>
    <w:uiPriority w:val="99"/>
    <w:rsid w:val="00D8715D"/>
    <w:rPr>
      <w:rFonts w:ascii="Arial" w:hAnsi="Arial"/>
      <w:sz w:val="22"/>
    </w:rPr>
  </w:style>
  <w:style w:type="character" w:styleId="PageNumber">
    <w:name w:val="page number"/>
    <w:basedOn w:val="DefaultParagraphFont"/>
    <w:uiPriority w:val="99"/>
    <w:semiHidden/>
    <w:unhideWhenUsed/>
    <w:rsid w:val="00D8715D"/>
  </w:style>
  <w:style w:type="paragraph" w:styleId="BalloonText">
    <w:name w:val="Balloon Text"/>
    <w:basedOn w:val="Normal"/>
    <w:link w:val="BalloonTextChar"/>
    <w:uiPriority w:val="99"/>
    <w:semiHidden/>
    <w:unhideWhenUsed/>
    <w:rsid w:val="00490DC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D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witter.com/OBPRGov"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dpmc.gov.au/deregulation/obpr/handbook/index.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mc.gov.au/deregulation/obpr/reporting-publications/publications.cf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pmc.gov.au/deregulation/obpr/index.cf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nrsch.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pmc.gov.au/deregulation/obpr/riar/docs/independent-review-of-ria-proc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ShareHubID xmlns="166541c0-0594-4e6a-9105-c24d4b6de6f7">DOC21-228320</ShareHubID>
    <TaxCatchAll xmlns="166541c0-0594-4e6a-9105-c24d4b6de6f7">
      <Value>29</Value>
      <Value>57</Value>
      <Value>21</Value>
      <Value>20</Value>
      <Value>46</Value>
      <Value>18</Value>
    </TaxCatchAll>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APEC</TermName>
          <TermId xmlns="http://schemas.microsoft.com/office/infopath/2007/PartnerControls">f15c2e9f-0d8f-4ba0-9d57-6a414fdf7da3</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76EAE2BC-9298-45FD-B758-E2FBE148BE97}">
  <ds:schemaRefs>
    <ds:schemaRef ds:uri="http://schemas.openxmlformats.org/officeDocument/2006/bibliography"/>
  </ds:schemaRefs>
</ds:datastoreItem>
</file>

<file path=customXml/itemProps2.xml><?xml version="1.0" encoding="utf-8"?>
<ds:datastoreItem xmlns:ds="http://schemas.openxmlformats.org/officeDocument/2006/customXml" ds:itemID="{7E35FDDA-172F-4BE3-954C-C3FC472873A7}"/>
</file>

<file path=customXml/itemProps3.xml><?xml version="1.0" encoding="utf-8"?>
<ds:datastoreItem xmlns:ds="http://schemas.openxmlformats.org/officeDocument/2006/customXml" ds:itemID="{1C815851-14F4-4296-8C5E-38CEA01F4E03}"/>
</file>

<file path=customXml/itemProps4.xml><?xml version="1.0" encoding="utf-8"?>
<ds:datastoreItem xmlns:ds="http://schemas.openxmlformats.org/officeDocument/2006/customXml" ds:itemID="{CEB40FFE-51DE-43E2-A1B2-89170CFC9DC4}"/>
</file>

<file path=docProps/app.xml><?xml version="1.0" encoding="utf-8"?>
<Properties xmlns="http://schemas.openxmlformats.org/officeDocument/2006/extended-properties" xmlns:vt="http://schemas.openxmlformats.org/officeDocument/2006/docPropsVTypes">
  <Template>Normal.dotm</Template>
  <TotalTime>53</TotalTime>
  <Pages>56</Pages>
  <Words>16068</Words>
  <Characters>95542</Characters>
  <Application>Microsoft Office Word</Application>
  <DocSecurity>0</DocSecurity>
  <Lines>796</Lines>
  <Paragraphs>222</Paragraphs>
  <ScaleCrop>false</ScaleCrop>
  <HeadingPairs>
    <vt:vector size="2" baseType="variant">
      <vt:variant>
        <vt:lpstr>Title</vt:lpstr>
      </vt:variant>
      <vt:variant>
        <vt:i4>1</vt:i4>
      </vt:variant>
    </vt:vector>
  </HeadingPairs>
  <TitlesOfParts>
    <vt:vector size="1" baseType="lpstr">
      <vt:lpstr>Best Practice Regulation Report 2012-13</vt:lpstr>
    </vt:vector>
  </TitlesOfParts>
  <Company>Department of the Prime Minister and Cabinet</Company>
  <LinksUpToDate>false</LinksUpToDate>
  <CharactersWithSpaces>111388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Regulation Report 2012-13</dc:title>
  <dc:creator>Department of the Prime Minister and Cabinet</dc:creator>
  <cp:lastModifiedBy>Roberts, Sarah</cp:lastModifiedBy>
  <cp:revision>18</cp:revision>
  <cp:lastPrinted>2014-02-06T00:58:00Z</cp:lastPrinted>
  <dcterms:created xsi:type="dcterms:W3CDTF">2014-02-06T02:27:00Z</dcterms:created>
  <dcterms:modified xsi:type="dcterms:W3CDTF">2014-02-11T01:34:00Z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earchTags">
    <vt:lpwstr>29;#Training|2f396fb6-baad-479d-8254-1550153bbe31;#46;#Flood|6285b0d0-e7e3-4bfe-8359-36404de1c171;#21;#Climate Change|41dd6691-cb87-446f-a384-c62c202138b9;#20;#APEC|f15c2e9f-0d8f-4ba0-9d57-6a414fdf7da3;#18;#Cabinet|84cba657-17c1-4642-9e59-a0df180c2be5</vt:lpwstr>
  </property>
  <property fmtid="{D5CDD505-2E9C-101B-9397-08002B2CF9AE}" pid="3" name="PMC.ESearch.TagGeneratedTime">
    <vt:lpwstr>2021-08-09T11:56:06</vt:lpwstr>
  </property>
  <property fmtid="{D5CDD505-2E9C-101B-9397-08002B2CF9AE}" pid="4" name="HPRMSecurityLevel">
    <vt:lpwstr>57;#OFFICIAL|11463c70-78df-4e3b-b0ff-f66cd3cb26ec</vt:lpwstr>
  </property>
  <property fmtid="{D5CDD505-2E9C-101B-9397-08002B2CF9AE}" pid="5" name="ContentTypeId">
    <vt:lpwstr>0x0101002825A64A6E1845A99A9D8EE8A5686ECB009B58D7D72C3ED54C851955501673F8AC</vt:lpwstr>
  </property>
  <property fmtid="{D5CDD505-2E9C-101B-9397-08002B2CF9AE}" pid="6" name="HPRMSecurityCaveat">
    <vt:lpwstr/>
  </property>
</Properties>
</file>