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77777777" w:rsidR="00E26F28" w:rsidRDefault="004438BF" w:rsidP="00E03285">
      <w:r>
        <w:rPr>
          <w:noProof/>
          <w:lang w:val="en-AU" w:eastAsia="en-AU"/>
        </w:rPr>
        <mc:AlternateContent>
          <mc:Choice Requires="wps">
            <w:drawing>
              <wp:anchor distT="0" distB="0" distL="114300" distR="114300" simplePos="0" relativeHeight="251664384" behindDoc="0" locked="0" layoutInCell="1" allowOverlap="1" wp14:anchorId="3AB790C4" wp14:editId="3E30108E">
                <wp:simplePos x="0" y="0"/>
                <wp:positionH relativeFrom="column">
                  <wp:posOffset>4023360</wp:posOffset>
                </wp:positionH>
                <wp:positionV relativeFrom="paragraph">
                  <wp:posOffset>-78740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13CAE7C8" w14:textId="50FBC1BD" w:rsidR="004438BF" w:rsidRPr="00E03285" w:rsidRDefault="002A29CE" w:rsidP="002A29C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790C4" id="_x0000_t202" coordsize="21600,21600" o:spt="202" path="m,l,21600r21600,l21600,xe">
                <v:stroke joinstyle="miter"/>
                <v:path gradientshapeok="t" o:connecttype="rect"/>
              </v:shapetype>
              <v:shape id="Text Box 2" o:spid="_x0000_s1026" type="#_x0000_t202" style="position:absolute;margin-left:316.8pt;margin-top:-6.2pt;width:17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" filled="f" strokecolor="#8e744b" strokeweight="1.5pt">
                <v:textbox>
                  <w:txbxContent>
                    <w:p w14:paraId="13CAE7C8" w14:textId="50FBC1BD" w:rsidR="004438BF" w:rsidRPr="00E03285" w:rsidRDefault="002A29CE" w:rsidP="002A29CE">
                      <w:pPr>
                        <w:jc w:val="center"/>
                        <w:rPr>
                          <w:rStyle w:val="SubtleEmphasis"/>
                        </w:rPr>
                      </w:pPr>
                      <w:r>
                        <w:rPr>
                          <w:rStyle w:val="SubtleEmphasis"/>
                        </w:rPr>
                        <w:t>OBPR</w:t>
                      </w:r>
                    </w:p>
                  </w:txbxContent>
                </v:textbox>
              </v:shape>
            </w:pict>
          </mc:Fallback>
        </mc:AlternateContent>
      </w:r>
      <w:r w:rsidR="00E26F28">
        <w:rPr>
          <w:noProof/>
          <w:lang w:val="en-AU" w:eastAsia="en-AU"/>
        </w:rPr>
        <w:drawing>
          <wp:anchor distT="0" distB="0" distL="114300" distR="114300" simplePos="0" relativeHeight="251658240" behindDoc="1" locked="0" layoutInCell="1" allowOverlap="1" wp14:anchorId="4E6ABB33" wp14:editId="09DA3AC2">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2DC7C084" w14:textId="77777777" w:rsidR="00DF36D6" w:rsidRDefault="00DF36D6" w:rsidP="00E866F6">
      <w:pPr>
        <w:pStyle w:val="Title"/>
        <w:spacing w:before="120" w:after="0"/>
        <w:rPr>
          <w:rStyle w:val="TitleChar"/>
          <w:sz w:val="32"/>
          <w:szCs w:val="32"/>
        </w:rPr>
      </w:pPr>
    </w:p>
    <w:p w14:paraId="633149AA" w14:textId="3D6AC1C9" w:rsidR="00DF36D6" w:rsidRDefault="00DF36D6" w:rsidP="00DF36D6">
      <w:pPr>
        <w:pStyle w:val="Heading1"/>
        <w:pBdr>
          <w:bottom w:val="none" w:sz="0" w:space="0" w:color="auto"/>
        </w:pBdr>
        <w:jc w:val="center"/>
      </w:pPr>
      <w:r w:rsidRPr="00DF36D6">
        <w:rPr>
          <w:rStyle w:val="TitleChar"/>
        </w:rPr>
        <w:t xml:space="preserve">Benefits of a RIS in helping you to maintain an open mind in considering alternative policy options </w:t>
      </w:r>
      <w:r>
        <w:br/>
      </w:r>
      <w:r>
        <w:rPr>
          <w:rStyle w:val="SubtitleChar"/>
          <w:caps w:val="0"/>
        </w:rPr>
        <w:t>Video Transcript</w:t>
      </w:r>
      <w:r w:rsidRPr="00E55B65">
        <w:t xml:space="preserve"> </w:t>
      </w:r>
    </w:p>
    <w:p w14:paraId="74E3E40F" w14:textId="77777777" w:rsidR="00DF36D6" w:rsidRPr="00E55B65" w:rsidRDefault="00DF36D6" w:rsidP="00DF36D6">
      <w:r>
        <w:rPr>
          <w:noProof/>
          <w:lang w:val="en-AU" w:eastAsia="en-AU"/>
        </w:rPr>
        <mc:AlternateContent>
          <mc:Choice Requires="wps">
            <w:drawing>
              <wp:anchor distT="0" distB="0" distL="114300" distR="114300" simplePos="0" relativeHeight="251666432" behindDoc="0" locked="0" layoutInCell="1" allowOverlap="1" wp14:anchorId="4A91CD7B" wp14:editId="5684D3F4">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81DE9"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012DA2AF" w14:textId="17FE470B" w:rsidR="000657BE" w:rsidRDefault="00E866F6" w:rsidP="000657BE">
      <w:pPr>
        <w:pStyle w:val="Heading1"/>
        <w:spacing w:after="0" w:line="240" w:lineRule="auto"/>
      </w:pPr>
      <w:r>
        <w:t>Neil Savery</w:t>
      </w:r>
    </w:p>
    <w:p w14:paraId="4EC6B43E" w14:textId="77777777" w:rsidR="000657BE" w:rsidRDefault="000657BE" w:rsidP="000657BE">
      <w:pPr>
        <w:pStyle w:val="Heading1"/>
        <w:spacing w:after="0" w:line="240" w:lineRule="auto"/>
      </w:pPr>
      <w:r>
        <w:t xml:space="preserve">CEO, </w:t>
      </w:r>
      <w:r w:rsidRPr="000B1622">
        <w:t>Australian Building Codes Board</w:t>
      </w:r>
    </w:p>
    <w:p w14:paraId="4F647FC1" w14:textId="77777777" w:rsidR="00E866F6" w:rsidRDefault="00E866F6" w:rsidP="000657BE">
      <w:pPr>
        <w:pStyle w:val="Heading1"/>
        <w:spacing w:after="0" w:line="240" w:lineRule="auto"/>
      </w:pPr>
    </w:p>
    <w:p w14:paraId="6D805933" w14:textId="42F51647" w:rsidR="000657BE" w:rsidRDefault="000657BE" w:rsidP="000657BE">
      <w:pPr>
        <w:pStyle w:val="Heading1"/>
        <w:spacing w:after="0" w:line="240" w:lineRule="auto"/>
      </w:pPr>
      <w:r>
        <w:t>Kate Carnell</w:t>
      </w:r>
    </w:p>
    <w:p w14:paraId="6CA42B90" w14:textId="7F9FFD60" w:rsidR="00E866F6" w:rsidRDefault="000657BE" w:rsidP="00E866F6">
      <w:pPr>
        <w:pStyle w:val="Heading1"/>
        <w:spacing w:after="0" w:line="240" w:lineRule="auto"/>
      </w:pPr>
      <w:r>
        <w:t xml:space="preserve">Former Australian Small Business &amp; Family Enterprise ombudsman </w:t>
      </w:r>
    </w:p>
    <w:p w14:paraId="73FEF90E" w14:textId="77777777" w:rsidR="00E866F6" w:rsidRDefault="00E866F6" w:rsidP="00E866F6">
      <w:pPr>
        <w:pStyle w:val="Heading1"/>
        <w:spacing w:after="0" w:line="240" w:lineRule="auto"/>
      </w:pPr>
    </w:p>
    <w:p w14:paraId="1791CA3E" w14:textId="5D85E069" w:rsidR="00E866F6" w:rsidRDefault="00E866F6" w:rsidP="00E866F6">
      <w:pPr>
        <w:pStyle w:val="Heading1"/>
        <w:spacing w:after="0" w:line="240" w:lineRule="auto"/>
      </w:pPr>
      <w:r>
        <w:t>Mark Booth</w:t>
      </w:r>
    </w:p>
    <w:p w14:paraId="4F087128" w14:textId="77777777" w:rsidR="00E866F6" w:rsidRDefault="00E866F6" w:rsidP="00E866F6">
      <w:pPr>
        <w:pStyle w:val="Heading1"/>
        <w:spacing w:after="0" w:line="240" w:lineRule="auto"/>
      </w:pPr>
      <w:r>
        <w:t>CEO, Food standards Australia new Zealand</w:t>
      </w:r>
    </w:p>
    <w:p w14:paraId="3B7D0644" w14:textId="2F65FF73" w:rsidR="00E866F6" w:rsidRDefault="00E866F6" w:rsidP="00E866F6"/>
    <w:p w14:paraId="46663000" w14:textId="57F3733A" w:rsidR="00E866F6" w:rsidRPr="00543220" w:rsidRDefault="00543220" w:rsidP="00E866F6">
      <w:pPr>
        <w:rPr>
          <w:rFonts w:cstheme="minorHAnsi"/>
        </w:rPr>
      </w:pPr>
      <w:r w:rsidRPr="00543220">
        <w:rPr>
          <w:rFonts w:cstheme="minorHAnsi"/>
          <w:b/>
        </w:rPr>
        <w:t>Neil</w:t>
      </w:r>
      <w:r w:rsidR="00E866F6" w:rsidRPr="00543220">
        <w:rPr>
          <w:rFonts w:cstheme="minorHAnsi"/>
          <w:b/>
        </w:rPr>
        <w:t xml:space="preserve"> Savery:</w:t>
      </w:r>
      <w:r w:rsidR="00E866F6" w:rsidRPr="00543220">
        <w:rPr>
          <w:rFonts w:cstheme="minorHAnsi"/>
        </w:rPr>
        <w:t xml:space="preserve"> Finding solutions to policy issues isn't usually down to one option. </w:t>
      </w:r>
    </w:p>
    <w:p w14:paraId="14AFE8A7" w14:textId="5F2F6979" w:rsidR="00E866F6" w:rsidRPr="00543220" w:rsidRDefault="00E866F6" w:rsidP="002A29CE">
      <w:pPr>
        <w:rPr>
          <w:rFonts w:cstheme="minorHAnsi"/>
        </w:rPr>
      </w:pPr>
    </w:p>
    <w:p w14:paraId="4A014ECC" w14:textId="304F3BA5" w:rsidR="00C93B00" w:rsidRPr="00543220" w:rsidRDefault="00543220" w:rsidP="002A29CE">
      <w:pPr>
        <w:rPr>
          <w:rFonts w:cstheme="minorHAnsi"/>
        </w:rPr>
      </w:pPr>
      <w:r w:rsidRPr="00543220">
        <w:rPr>
          <w:rFonts w:cstheme="minorHAnsi"/>
          <w:b/>
        </w:rPr>
        <w:lastRenderedPageBreak/>
        <w:t>Kate</w:t>
      </w:r>
      <w:r w:rsidR="00E866F6" w:rsidRPr="00543220">
        <w:rPr>
          <w:rFonts w:cstheme="minorHAnsi"/>
          <w:b/>
        </w:rPr>
        <w:t xml:space="preserve"> Carnell:</w:t>
      </w:r>
      <w:r w:rsidR="00E866F6" w:rsidRPr="00543220">
        <w:rPr>
          <w:rFonts w:cstheme="minorHAnsi"/>
        </w:rPr>
        <w:t xml:space="preserve"> </w:t>
      </w:r>
      <w:r w:rsidR="00613FC8" w:rsidRPr="00543220">
        <w:rPr>
          <w:rFonts w:cstheme="minorHAnsi"/>
        </w:rPr>
        <w:t>You know, with policy, regularly</w:t>
      </w:r>
      <w:r w:rsidR="002A29CE" w:rsidRPr="00543220">
        <w:rPr>
          <w:rFonts w:cstheme="minorHAnsi"/>
        </w:rPr>
        <w:t xml:space="preserve"> people sit around a table, whether they be politicians, ministers, mini</w:t>
      </w:r>
      <w:r w:rsidR="006041F5">
        <w:rPr>
          <w:rFonts w:cstheme="minorHAnsi"/>
        </w:rPr>
        <w:t>sters’ staffers, people in the D</w:t>
      </w:r>
      <w:r w:rsidR="002A29CE" w:rsidRPr="00543220">
        <w:rPr>
          <w:rFonts w:cstheme="minorHAnsi"/>
        </w:rPr>
        <w:t xml:space="preserve">epartment, sit around a table to determine what a solution might be for a particular problem. </w:t>
      </w:r>
    </w:p>
    <w:p w14:paraId="2FD434AF" w14:textId="77777777" w:rsidR="00C93B00" w:rsidRPr="00543220" w:rsidRDefault="00C93B00" w:rsidP="002A29CE">
      <w:pPr>
        <w:rPr>
          <w:rFonts w:cstheme="minorHAnsi"/>
        </w:rPr>
      </w:pPr>
    </w:p>
    <w:p w14:paraId="5FDCA324" w14:textId="73A04487" w:rsidR="002A29CE" w:rsidRPr="00543220" w:rsidRDefault="00723FF8" w:rsidP="002A29CE">
      <w:pPr>
        <w:rPr>
          <w:rFonts w:cstheme="minorHAnsi"/>
        </w:rPr>
      </w:pPr>
      <w:r>
        <w:rPr>
          <w:rFonts w:cstheme="minorHAnsi"/>
        </w:rPr>
        <w:t>I</w:t>
      </w:r>
      <w:bookmarkStart w:id="0" w:name="_GoBack"/>
      <w:bookmarkEnd w:id="0"/>
      <w:r w:rsidR="002A29CE" w:rsidRPr="00543220">
        <w:rPr>
          <w:rFonts w:cstheme="minorHAnsi"/>
        </w:rPr>
        <w:t>t's certainly true that people in that scenario are, as some people say, in a bubble. You know what you know, but you don't know what it's like there out in the community more broadly, or the people that are actually going to have to implement the legislation</w:t>
      </w:r>
      <w:r w:rsidR="006041F5">
        <w:rPr>
          <w:rFonts w:cstheme="minorHAnsi"/>
        </w:rPr>
        <w:t>,</w:t>
      </w:r>
      <w:r w:rsidR="002A29CE" w:rsidRPr="00543220">
        <w:rPr>
          <w:rFonts w:cstheme="minorHAnsi"/>
        </w:rPr>
        <w:t xml:space="preserve"> or the policy that you're talking about. </w:t>
      </w:r>
    </w:p>
    <w:p w14:paraId="2E6B80B5" w14:textId="77777777" w:rsidR="002A29CE" w:rsidRPr="00543220" w:rsidRDefault="002A29CE" w:rsidP="002A29CE">
      <w:pPr>
        <w:rPr>
          <w:rFonts w:cstheme="minorHAnsi"/>
        </w:rPr>
      </w:pPr>
    </w:p>
    <w:p w14:paraId="26FCBF79" w14:textId="2E954282" w:rsidR="00C93B00" w:rsidRPr="00543220" w:rsidRDefault="00543220" w:rsidP="002A29CE">
      <w:pPr>
        <w:rPr>
          <w:rFonts w:cstheme="minorHAnsi"/>
        </w:rPr>
      </w:pPr>
      <w:r w:rsidRPr="00543220">
        <w:rPr>
          <w:rFonts w:cstheme="minorHAnsi"/>
          <w:b/>
        </w:rPr>
        <w:t>Mark</w:t>
      </w:r>
      <w:r w:rsidR="00C93B00" w:rsidRPr="00543220">
        <w:rPr>
          <w:rFonts w:cstheme="minorHAnsi"/>
          <w:b/>
        </w:rPr>
        <w:t xml:space="preserve"> Booth:</w:t>
      </w:r>
      <w:r w:rsidR="00C93B00" w:rsidRPr="00543220">
        <w:rPr>
          <w:rFonts w:cstheme="minorHAnsi"/>
        </w:rPr>
        <w:t xml:space="preserve"> I</w:t>
      </w:r>
      <w:r w:rsidR="002A29CE" w:rsidRPr="00543220">
        <w:rPr>
          <w:rFonts w:cstheme="minorHAnsi"/>
        </w:rPr>
        <w:t xml:space="preserve">t's crucially important. You have to look at all the options. </w:t>
      </w:r>
    </w:p>
    <w:p w14:paraId="437FDCAA" w14:textId="77777777" w:rsidR="00C93B00" w:rsidRPr="00543220" w:rsidRDefault="00C93B00" w:rsidP="002A29CE">
      <w:pPr>
        <w:rPr>
          <w:rFonts w:cstheme="minorHAnsi"/>
        </w:rPr>
      </w:pPr>
    </w:p>
    <w:p w14:paraId="2F4EB7FB" w14:textId="17BAA77D" w:rsidR="00C93B00" w:rsidRPr="00543220" w:rsidRDefault="002A29CE" w:rsidP="002A29CE">
      <w:pPr>
        <w:rPr>
          <w:rFonts w:cstheme="minorHAnsi"/>
        </w:rPr>
      </w:pPr>
      <w:r w:rsidRPr="00543220">
        <w:rPr>
          <w:rFonts w:cstheme="minorHAnsi"/>
        </w:rPr>
        <w:t xml:space="preserve">My original training was as an economist, and it was always drummed into me when I was a student and through many, many years that there is no one simple answer to an issue. </w:t>
      </w:r>
    </w:p>
    <w:p w14:paraId="45295F86" w14:textId="77777777" w:rsidR="00C93B00" w:rsidRPr="00543220" w:rsidRDefault="00C93B00" w:rsidP="002A29CE">
      <w:pPr>
        <w:rPr>
          <w:rFonts w:cstheme="minorHAnsi"/>
        </w:rPr>
      </w:pPr>
    </w:p>
    <w:p w14:paraId="135A495F" w14:textId="23028369" w:rsidR="00C93B00" w:rsidRPr="00543220" w:rsidRDefault="002A29CE" w:rsidP="002A29CE">
      <w:pPr>
        <w:rPr>
          <w:rFonts w:cstheme="minorHAnsi"/>
        </w:rPr>
      </w:pPr>
      <w:r w:rsidRPr="00543220">
        <w:rPr>
          <w:rFonts w:cstheme="minorHAnsi"/>
        </w:rPr>
        <w:t>You have to look at all the options and you a</w:t>
      </w:r>
      <w:r w:rsidR="0020452E" w:rsidRPr="00543220">
        <w:rPr>
          <w:rFonts w:cstheme="minorHAnsi"/>
        </w:rPr>
        <w:t>lways ne</w:t>
      </w:r>
      <w:r w:rsidR="00C93B00" w:rsidRPr="00543220">
        <w:rPr>
          <w:rFonts w:cstheme="minorHAnsi"/>
        </w:rPr>
        <w:t xml:space="preserve">ed to look at the </w:t>
      </w:r>
      <w:proofErr w:type="gramStart"/>
      <w:r w:rsidR="00C93B00" w:rsidRPr="00543220">
        <w:rPr>
          <w:rFonts w:cstheme="minorHAnsi"/>
        </w:rPr>
        <w:t>greenfield</w:t>
      </w:r>
      <w:proofErr w:type="gramEnd"/>
      <w:r w:rsidR="00C93B00" w:rsidRPr="00543220">
        <w:rPr>
          <w:rFonts w:cstheme="minorHAnsi"/>
        </w:rPr>
        <w:t xml:space="preserve"> do-</w:t>
      </w:r>
      <w:r w:rsidRPr="00543220">
        <w:rPr>
          <w:rFonts w:cstheme="minorHAnsi"/>
        </w:rPr>
        <w:t xml:space="preserve">nothing option as well as a whole host of different options. </w:t>
      </w:r>
    </w:p>
    <w:p w14:paraId="442120E0" w14:textId="77777777" w:rsidR="00C93B00" w:rsidRPr="00543220" w:rsidRDefault="00C93B00" w:rsidP="002A29CE">
      <w:pPr>
        <w:rPr>
          <w:rFonts w:cstheme="minorHAnsi"/>
        </w:rPr>
      </w:pPr>
    </w:p>
    <w:p w14:paraId="670D39DA" w14:textId="632825CE" w:rsidR="008A6734" w:rsidRPr="00543220" w:rsidRDefault="002A29CE" w:rsidP="002A29CE">
      <w:pPr>
        <w:rPr>
          <w:rFonts w:cstheme="minorHAnsi"/>
        </w:rPr>
      </w:pPr>
      <w:r w:rsidRPr="00543220">
        <w:rPr>
          <w:rFonts w:cstheme="minorHAnsi"/>
        </w:rPr>
        <w:t>Be very concerned if somebody comes up to you and says there's one clear answer here and there's one clear option, be worried about that, bec</w:t>
      </w:r>
      <w:r w:rsidR="006041F5">
        <w:rPr>
          <w:rFonts w:cstheme="minorHAnsi"/>
        </w:rPr>
        <w:t>ause at the end of the day, there</w:t>
      </w:r>
      <w:r w:rsidRPr="00543220">
        <w:rPr>
          <w:rFonts w:cstheme="minorHAnsi"/>
        </w:rPr>
        <w:t xml:space="preserve"> will typically be myriad options.</w:t>
      </w:r>
    </w:p>
    <w:sectPr w:rsidR="008A6734" w:rsidRPr="00543220" w:rsidSect="00E26F28">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C815" w14:textId="77777777" w:rsidR="00DB2676" w:rsidRDefault="00DB2676" w:rsidP="00E03285">
      <w:r>
        <w:separator/>
      </w:r>
    </w:p>
  </w:endnote>
  <w:endnote w:type="continuationSeparator" w:id="0">
    <w:p w14:paraId="37CA84E3" w14:textId="77777777" w:rsidR="00DB2676" w:rsidRDefault="00DB2676"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_x0000_s1027"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71A68"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6B0A" w14:textId="77777777" w:rsidR="00DB2676" w:rsidRDefault="00DB2676" w:rsidP="00E03285">
      <w:r>
        <w:separator/>
      </w:r>
    </w:p>
  </w:footnote>
  <w:footnote w:type="continuationSeparator" w:id="0">
    <w:p w14:paraId="09F8EF62" w14:textId="77777777" w:rsidR="00DB2676" w:rsidRDefault="00DB2676"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657BE"/>
    <w:rsid w:val="000C464C"/>
    <w:rsid w:val="000F7C0E"/>
    <w:rsid w:val="001412B1"/>
    <w:rsid w:val="0020452E"/>
    <w:rsid w:val="00211EE8"/>
    <w:rsid w:val="00227362"/>
    <w:rsid w:val="002372C1"/>
    <w:rsid w:val="0023785B"/>
    <w:rsid w:val="002A29CE"/>
    <w:rsid w:val="002C0D24"/>
    <w:rsid w:val="002F2D15"/>
    <w:rsid w:val="00317ED8"/>
    <w:rsid w:val="00343B88"/>
    <w:rsid w:val="00343E72"/>
    <w:rsid w:val="004438BF"/>
    <w:rsid w:val="004873A0"/>
    <w:rsid w:val="00543220"/>
    <w:rsid w:val="005B1002"/>
    <w:rsid w:val="006041F5"/>
    <w:rsid w:val="00613FC8"/>
    <w:rsid w:val="00623709"/>
    <w:rsid w:val="00723FF8"/>
    <w:rsid w:val="00737E52"/>
    <w:rsid w:val="008A6734"/>
    <w:rsid w:val="00957994"/>
    <w:rsid w:val="00992786"/>
    <w:rsid w:val="00AD2421"/>
    <w:rsid w:val="00B86753"/>
    <w:rsid w:val="00C93B00"/>
    <w:rsid w:val="00DA7A9C"/>
    <w:rsid w:val="00DB2676"/>
    <w:rsid w:val="00DF36D6"/>
    <w:rsid w:val="00E03285"/>
    <w:rsid w:val="00E26F28"/>
    <w:rsid w:val="00E866F6"/>
    <w:rsid w:val="00E905DC"/>
    <w:rsid w:val="00EC01DE"/>
    <w:rsid w:val="00F31798"/>
    <w:rsid w:val="00F65314"/>
    <w:rsid w:val="00FF4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tabs>
        <w:tab w:val="num" w:pos="360"/>
      </w:tabs>
      <w:ind w:left="0" w:firstLine="0"/>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700C3B7706041A0030B4DC0637B7E" ma:contentTypeVersion="7" ma:contentTypeDescription="Create a new document." ma:contentTypeScope="" ma:versionID="05b69f075dc2a78936236eac62715778">
  <xsd:schema xmlns:xsd="http://www.w3.org/2001/XMLSchema" xmlns:xs="http://www.w3.org/2001/XMLSchema" xmlns:p="http://schemas.microsoft.com/office/2006/metadata/properties" xmlns:ns1="http://schemas.microsoft.com/sharepoint/v3" xmlns:ns2="a67d69fb-1cc0-4318-a70d-ba82c4882e7d" targetNamespace="http://schemas.microsoft.com/office/2006/metadata/properties" ma:root="true" ma:fieldsID="114f1ac36a6f02462bdd6d9b90df55a4" ns1:_="" ns2:_="">
    <xsd:import namespace="http://schemas.microsoft.com/sharepoint/v3"/>
    <xsd:import namespace="a67d69fb-1cc0-4318-a70d-ba82c4882e7d"/>
    <xsd:element name="properties">
      <xsd:complexType>
        <xsd:sequence>
          <xsd:element name="documentManagement">
            <xsd:complexType>
              <xsd:all>
                <xsd:element ref="ns1:PublishingContactEmail"/>
                <xsd:element ref="ns2:TaxCatchAll" minOccurs="0"/>
                <xsd:element ref="ns2:TaxCatchAllLabel" minOccurs="0"/>
                <xsd:element ref="ns2:TaxKeywordTaxHTField" minOccurs="0"/>
                <xsd:element ref="ns1:PublishingStartDate" minOccurs="0"/>
                <xsd:element ref="ns1:PublishingExpirationDate" minOccurs="0"/>
                <xsd:element ref="ns2:FunctionalArea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6"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unctionalArea_Note xmlns="a67d69fb-1cc0-4318-a70d-ba82c4882e7d">
      <Terms xmlns="http://schemas.microsoft.com/office/infopath/2007/PartnerControls"/>
    </FunctionalArea_Note>
    <PublishingContactEmail xmlns="http://schemas.microsoft.com/sharepoint/v3"/>
    <TaxKeywordTaxHTField xmlns="a67d69fb-1cc0-4318-a70d-ba82c4882e7d">
      <Terms xmlns="http://schemas.microsoft.com/office/infopath/2007/PartnerControls"/>
    </TaxKeywordTaxHTField>
    <TaxCatchAll xmlns="a67d69fb-1cc0-4318-a70d-ba82c4882e7d"/>
  </documentManagement>
</p:properties>
</file>

<file path=customXml/itemProps1.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2.xml><?xml version="1.0" encoding="utf-8"?>
<ds:datastoreItem xmlns:ds="http://schemas.openxmlformats.org/officeDocument/2006/customXml" ds:itemID="{F89E8041-9248-4CB2-9A02-F1E353C17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13B9E-A6D3-4828-A425-E65F2AEF512C}">
  <ds:schemaRefs>
    <ds:schemaRef ds:uri="http://schemas.microsoft.com/office/2006/metadata/properties"/>
    <ds:schemaRef ds:uri="http://schemas.microsoft.com/office/infopath/2007/PartnerControls"/>
    <ds:schemaRef ds:uri="http://schemas.microsoft.com/sharepoint/v3"/>
    <ds:schemaRef ds:uri="a67d69fb-1cc0-4318-a70d-ba82c4882e7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PMC style guide navy</vt:lpstr>
    </vt:vector>
  </TitlesOfParts>
  <Company>Department of the Prime Minister and Cabinet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style guide navy</dc:title>
  <dc:creator>Dudfield, Jessica</dc:creator>
  <cp:lastModifiedBy>Seah, Tiffany</cp:lastModifiedBy>
  <cp:revision>3</cp:revision>
  <dcterms:created xsi:type="dcterms:W3CDTF">2021-05-27T08:00:00Z</dcterms:created>
  <dcterms:modified xsi:type="dcterms:W3CDTF">2021-05-27T08:01:00Z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0x01010093B700C3B7706041A0030B4DC0637B7E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Order">
    <vt:r8>29600</vt:r8>
  </property>
  <property fmtid="{D5CDD505-2E9C-101B-9397-08002B2CF9AE}" pid="9" name="FunctionalArea">
    <vt:lpwstr/>
  </property>
</Properties>
</file>