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3C4AF" w14:textId="77777777" w:rsidR="00130ADC" w:rsidRDefault="00130ADC" w:rsidP="00D044F4">
      <w:pPr>
        <w:pStyle w:val="Heading1"/>
      </w:pPr>
      <w:bookmarkStart w:id="0" w:name="_Toc329769812"/>
      <w:bookmarkStart w:id="1" w:name="_Toc329769939"/>
      <w:bookmarkStart w:id="2" w:name="_Toc330371011"/>
      <w:bookmarkStart w:id="3" w:name="_Toc330371850"/>
      <w:bookmarkStart w:id="4" w:name="_Toc331423696"/>
      <w:bookmarkStart w:id="5" w:name="_Toc331665802"/>
      <w:bookmarkStart w:id="6" w:name="_Toc334085936"/>
      <w:bookmarkStart w:id="7" w:name="_Toc334106934"/>
      <w:bookmarkStart w:id="8" w:name="_Toc334776865"/>
      <w:bookmarkStart w:id="9" w:name="_Toc334790438"/>
      <w:bookmarkStart w:id="10" w:name="_Toc336505282"/>
      <w:bookmarkStart w:id="11" w:name="_Toc336938929"/>
      <w:bookmarkStart w:id="12" w:name="_Toc337210529"/>
      <w:bookmarkStart w:id="13" w:name="_Toc338412891"/>
      <w:bookmarkStart w:id="14" w:name="_Toc338419100"/>
      <w:bookmarkStart w:id="15" w:name="_Toc338419164"/>
      <w:bookmarkStart w:id="16" w:name="_Toc339440854"/>
      <w:bookmarkStart w:id="17" w:name="_Toc339440925"/>
      <w:bookmarkStart w:id="18" w:name="_Toc340562848"/>
      <w:bookmarkStart w:id="19" w:name="_Toc340741195"/>
      <w:bookmarkStart w:id="20" w:name="_Toc340742525"/>
      <w:bookmarkStart w:id="21" w:name="_Toc340816904"/>
      <w:bookmarkStart w:id="22" w:name="_Toc341255148"/>
      <w:bookmarkStart w:id="23" w:name="_Toc341347250"/>
      <w:bookmarkStart w:id="24" w:name="_Toc341429725"/>
      <w:bookmarkStart w:id="25" w:name="_Toc341946134"/>
      <w:bookmarkStart w:id="26" w:name="_Toc342032033"/>
      <w:bookmarkStart w:id="27" w:name="_Toc343066832"/>
      <w:bookmarkStart w:id="28" w:name="_Toc343261518"/>
      <w:bookmarkStart w:id="29" w:name="_Toc343607087"/>
      <w:bookmarkStart w:id="30" w:name="_Toc347485396"/>
      <w:bookmarkStart w:id="31" w:name="_Toc348950634"/>
      <w:bookmarkStart w:id="32" w:name="_Toc348952778"/>
      <w:bookmarkStart w:id="33" w:name="_Toc349652165"/>
      <w:bookmarkStart w:id="34" w:name="_Toc349652265"/>
      <w:bookmarkStart w:id="35" w:name="_Toc349741803"/>
      <w:bookmarkStart w:id="36" w:name="_Toc351033510"/>
      <w:bookmarkStart w:id="37" w:name="_Toc351040429"/>
      <w:bookmarkStart w:id="38" w:name="_Toc351109336"/>
      <w:bookmarkStart w:id="39" w:name="_Toc351115091"/>
      <w:bookmarkStart w:id="40" w:name="_Toc353287152"/>
      <w:bookmarkStart w:id="41" w:name="_Toc353287308"/>
      <w:bookmarkStart w:id="42" w:name="_Toc353371044"/>
      <w:bookmarkStart w:id="43" w:name="_Toc353374429"/>
      <w:bookmarkStart w:id="44" w:name="_Toc353444646"/>
      <w:bookmarkStart w:id="45" w:name="_Toc353525859"/>
      <w:bookmarkStart w:id="46" w:name="_Toc355010386"/>
      <w:bookmarkStart w:id="47" w:name="_Toc356307524"/>
      <w:bookmarkStart w:id="48" w:name="_Toc356313198"/>
      <w:bookmarkStart w:id="49" w:name="_Toc357158733"/>
      <w:bookmarkStart w:id="50" w:name="_Toc357761796"/>
      <w:bookmarkStart w:id="51" w:name="_Toc359254344"/>
      <w:bookmarkStart w:id="52" w:name="_Toc361125038"/>
      <w:bookmarkStart w:id="53" w:name="_Toc361125109"/>
      <w:bookmarkStart w:id="54" w:name="_Toc361143007"/>
      <w:bookmarkStart w:id="55" w:name="_Toc362205722"/>
      <w:bookmarkStart w:id="56" w:name="_Toc362250091"/>
      <w:bookmarkStart w:id="57" w:name="_Toc362341053"/>
      <w:bookmarkStart w:id="58" w:name="_Toc362341072"/>
      <w:bookmarkStart w:id="59" w:name="_Toc362341103"/>
      <w:bookmarkStart w:id="60" w:name="_Toc362343440"/>
      <w:bookmarkStart w:id="61" w:name="_Toc363475029"/>
      <w:bookmarkStart w:id="62" w:name="_Toc363725628"/>
      <w:bookmarkStart w:id="63" w:name="_Toc363725774"/>
      <w:bookmarkStart w:id="64" w:name="_Toc363726435"/>
      <w:bookmarkStart w:id="65" w:name="_Toc364761057"/>
      <w:bookmarkStart w:id="66" w:name="_Toc365273842"/>
      <w:bookmarkStart w:id="67" w:name="_Toc367282597"/>
      <w:bookmarkStart w:id="68" w:name="_Toc367283591"/>
      <w:bookmarkStart w:id="69" w:name="_Toc367781072"/>
      <w:bookmarkStart w:id="70" w:name="_Toc367782736"/>
      <w:bookmarkStart w:id="71" w:name="_Toc369073509"/>
      <w:bookmarkStart w:id="72" w:name="_Toc372708779"/>
      <w:bookmarkStart w:id="73" w:name="_Toc372708814"/>
      <w:bookmarkStart w:id="74" w:name="_Toc372796395"/>
      <w:bookmarkStart w:id="75" w:name="_Toc372807316"/>
      <w:bookmarkStart w:id="76" w:name="_Toc373306749"/>
      <w:bookmarkStart w:id="77" w:name="_Toc373306970"/>
      <w:bookmarkStart w:id="78" w:name="_Toc373307616"/>
      <w:bookmarkStart w:id="79" w:name="_Toc373309337"/>
      <w:bookmarkStart w:id="80" w:name="_Toc373309728"/>
      <w:bookmarkStart w:id="81" w:name="_Toc376962641"/>
      <w:bookmarkStart w:id="82" w:name="_Toc379536792"/>
      <w:bookmarkStart w:id="83" w:name="_Toc379795062"/>
      <w:bookmarkStart w:id="84" w:name="_Toc379801135"/>
      <w:bookmarkStart w:id="85" w:name="_Toc379802373"/>
      <w:bookmarkStart w:id="86" w:name="_Toc383790358"/>
      <w:bookmarkStart w:id="87" w:name="_Toc384306615"/>
      <w:bookmarkStart w:id="88" w:name="_Toc384366785"/>
      <w:bookmarkStart w:id="89" w:name="_Toc387412046"/>
      <w:bookmarkStart w:id="90" w:name="_Toc391977607"/>
      <w:bookmarkStart w:id="91" w:name="_Toc391985271"/>
      <w:bookmarkStart w:id="92" w:name="_Toc391985775"/>
      <w:bookmarkStart w:id="93" w:name="_Toc391985813"/>
      <w:bookmarkStart w:id="94" w:name="_Toc392582652"/>
      <w:bookmarkStart w:id="95" w:name="_Toc392583991"/>
      <w:bookmarkStart w:id="96" w:name="_Toc392751702"/>
      <w:bookmarkStart w:id="97" w:name="_Toc392852654"/>
    </w:p>
    <w:p w14:paraId="56A3C4B0" w14:textId="38B524B4" w:rsidR="00832653" w:rsidRDefault="00832653" w:rsidP="004A6EC6">
      <w:pPr>
        <w:pStyle w:val="Heading1"/>
        <w:spacing w:after="120"/>
      </w:pPr>
      <w:bookmarkStart w:id="98" w:name="_Toc404606694"/>
      <w:bookmarkStart w:id="99" w:name="_Toc404603872"/>
      <w:bookmarkStart w:id="100" w:name="_Toc404599906"/>
      <w:bookmarkStart w:id="101" w:name="_Toc400627956"/>
      <w:bookmarkStart w:id="102" w:name="_Toc400109595"/>
      <w:bookmarkStart w:id="103" w:name="_Toc396480290"/>
      <w:bookmarkStart w:id="104" w:name="_Toc393462571"/>
      <w:bookmarkStart w:id="105" w:name="_Toc392589568"/>
      <w:bookmarkStart w:id="106" w:name="_Toc381283516"/>
      <w:bookmarkStart w:id="107" w:name="_Toc379966997"/>
      <w:bookmarkStart w:id="108" w:name="_Toc378240276"/>
      <w:bookmarkStart w:id="109" w:name="_Toc378058881"/>
      <w:bookmarkStart w:id="110" w:name="_Toc378058556"/>
      <w:bookmarkStart w:id="111" w:name="_Toc377474322"/>
      <w:bookmarkStart w:id="112" w:name="_Toc375560982"/>
      <w:bookmarkStart w:id="113" w:name="_Toc374526662"/>
      <w:bookmarkStart w:id="114" w:name="_Toc371337758"/>
      <w:bookmarkStart w:id="115" w:name="_Toc369272608"/>
      <w:bookmarkStart w:id="116" w:name="_Toc369272249"/>
      <w:bookmarkStart w:id="117" w:name="_Toc365277233"/>
      <w:bookmarkStart w:id="118" w:name="_Toc365277219"/>
      <w:bookmarkStart w:id="119" w:name="_Toc363719672"/>
      <w:bookmarkStart w:id="120" w:name="_Toc362420389"/>
      <w:bookmarkStart w:id="121" w:name="_Toc362335500"/>
      <w:bookmarkStart w:id="122" w:name="_Toc361929759"/>
      <w:bookmarkStart w:id="123" w:name="_Toc360453939"/>
      <w:bookmarkStart w:id="124" w:name="_Toc358983751"/>
      <w:bookmarkStart w:id="125" w:name="_Toc356569225"/>
      <w:bookmarkStart w:id="126" w:name="_Toc356295551"/>
      <w:bookmarkStart w:id="127" w:name="_Toc355615551"/>
      <w:bookmarkStart w:id="128" w:name="_Toc355604423"/>
      <w:bookmarkStart w:id="129" w:name="_Toc355604256"/>
      <w:bookmarkStart w:id="130" w:name="_Toc354048480"/>
      <w:bookmarkStart w:id="131" w:name="_Toc353966814"/>
      <w:bookmarkStart w:id="132" w:name="_Toc353887999"/>
      <w:bookmarkStart w:id="133" w:name="_Toc353803193"/>
      <w:bookmarkStart w:id="134" w:name="_Toc351553025"/>
      <w:bookmarkStart w:id="135" w:name="_Toc351544109"/>
      <w:bookmarkStart w:id="136" w:name="_Toc351123399"/>
      <w:bookmarkStart w:id="137" w:name="_Toc350953570"/>
      <w:bookmarkStart w:id="138" w:name="_Toc350858881"/>
      <w:bookmarkStart w:id="139" w:name="_Toc350858758"/>
      <w:bookmarkStart w:id="140" w:name="_Toc350858719"/>
      <w:bookmarkStart w:id="141" w:name="_Toc348688776"/>
      <w:bookmarkStart w:id="142" w:name="_Toc346698305"/>
      <w:bookmarkStart w:id="143" w:name="_Toc343850093"/>
      <w:bookmarkStart w:id="144" w:name="_Toc343848433"/>
      <w:bookmarkStart w:id="145" w:name="_Toc343754419"/>
      <w:bookmarkStart w:id="146" w:name="_Toc343250997"/>
      <w:bookmarkStart w:id="147" w:name="_Toc343249091"/>
      <w:bookmarkStart w:id="148" w:name="_Toc341357877"/>
      <w:bookmarkStart w:id="149" w:name="_Toc340583451"/>
      <w:bookmarkStart w:id="150" w:name="_Toc340582359"/>
      <w:bookmarkStart w:id="151" w:name="_Toc340567899"/>
      <w:bookmarkStart w:id="152" w:name="_Toc336956400"/>
      <w:bookmarkStart w:id="153" w:name="_Toc336942382"/>
      <w:bookmarkStart w:id="154" w:name="_Toc334021809"/>
      <w:bookmarkStart w:id="155" w:name="_Toc330308101"/>
      <w:bookmarkStart w:id="156" w:name="_Toc432587370"/>
      <w:bookmarkStart w:id="157" w:name="_Toc438539586"/>
      <w:bookmarkStart w:id="158" w:name="_Toc438539621"/>
      <w:bookmarkStart w:id="159" w:name="_Toc440639804"/>
      <w:bookmarkStart w:id="160" w:name="_Toc445973432"/>
      <w:bookmarkStart w:id="161" w:name="_Toc445974130"/>
      <w:bookmarkStart w:id="162" w:name="_Toc445974391"/>
      <w:bookmarkStart w:id="163" w:name="_Toc446318424"/>
      <w:bookmarkStart w:id="164" w:name="_Toc447532682"/>
      <w:bookmarkStart w:id="165" w:name="_Toc451168630"/>
      <w:bookmarkStart w:id="166" w:name="_Toc451264224"/>
      <w:bookmarkStart w:id="167" w:name="_Toc451264791"/>
      <w:bookmarkStart w:id="168" w:name="_Toc473715459"/>
      <w:bookmarkStart w:id="169" w:name="_Toc473900452"/>
      <w:bookmarkStart w:id="170" w:name="_Toc473900487"/>
      <w:bookmarkStart w:id="171" w:name="_Toc5280197"/>
      <w:bookmarkStart w:id="172" w:name="_Toc5611194"/>
      <w:bookmarkStart w:id="173" w:name="_Toc19865980"/>
      <w:bookmarkStart w:id="174" w:name="_Toc19866664"/>
      <w:bookmarkStart w:id="175" w:name="_Toc20150937"/>
      <w:bookmarkStart w:id="176" w:name="_Toc20151103"/>
      <w:bookmarkStart w:id="177" w:name="_Toc20235064"/>
      <w:bookmarkStart w:id="178" w:name="_Toc20302444"/>
      <w:bookmarkStart w:id="179" w:name="_Toc2038486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t>COAG Regulation Impact Statement statu</w:t>
      </w:r>
      <w:bookmarkStart w:id="180" w:name="_Toc404606695"/>
      <w:bookmarkStart w:id="181" w:name="_Toc404603873"/>
      <w:bookmarkStart w:id="182" w:name="_Toc404599907"/>
      <w:bookmarkStart w:id="183" w:name="_Toc400627957"/>
      <w:bookmarkStart w:id="184" w:name="_Toc400109596"/>
      <w:bookmarkStart w:id="185" w:name="_Toc396480291"/>
      <w:bookmarkStart w:id="186" w:name="_Toc393462572"/>
      <w:bookmarkStart w:id="187" w:name="_Toc392589569"/>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00F61642">
        <w:t>s: 201</w:t>
      </w:r>
      <w:r w:rsidR="00596B24">
        <w:t>8</w:t>
      </w:r>
      <w:r>
        <w:t>-1</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80"/>
      <w:bookmarkEnd w:id="181"/>
      <w:bookmarkEnd w:id="182"/>
      <w:bookmarkEnd w:id="183"/>
      <w:bookmarkEnd w:id="184"/>
      <w:bookmarkEnd w:id="185"/>
      <w:bookmarkEnd w:id="186"/>
      <w:bookmarkEnd w:id="187"/>
      <w:r w:rsidR="00596B24">
        <w:t>9</w:t>
      </w:r>
      <w:bookmarkEnd w:id="171"/>
      <w:bookmarkEnd w:id="172"/>
      <w:bookmarkEnd w:id="173"/>
      <w:bookmarkEnd w:id="174"/>
      <w:bookmarkEnd w:id="175"/>
      <w:bookmarkEnd w:id="176"/>
      <w:bookmarkEnd w:id="177"/>
      <w:bookmarkEnd w:id="178"/>
      <w:bookmarkEnd w:id="179"/>
    </w:p>
    <w:p w14:paraId="56A3C4B1" w14:textId="5148EC9D" w:rsidR="00CE560A" w:rsidRDefault="00832653" w:rsidP="00832653">
      <w:pPr>
        <w:pStyle w:val="BodyText1"/>
      </w:pPr>
      <w:r>
        <w:t>The Office of Best Practice Regulation (OBPR) publish</w:t>
      </w:r>
      <w:r w:rsidR="002F723B">
        <w:t>es</w:t>
      </w:r>
      <w:r>
        <w:t xml:space="preserve"> Regulation Impact Statements (RIS) and the OBPR’s assessment of RISs on its website as soon as practicable </w:t>
      </w:r>
      <w:r w:rsidR="002F723B">
        <w:t xml:space="preserve">after a </w:t>
      </w:r>
      <w:r>
        <w:t>regulatory announcement</w:t>
      </w:r>
      <w:r w:rsidR="002F723B">
        <w:t xml:space="preserve"> is made</w:t>
      </w:r>
      <w:r>
        <w:t>, in consultation with the relevant Council, Forum or national standard-setting body (NSSB). Consequently, the RIS status in aggregate and by Council, Forum or NSSB is also reported ‘live’ in the following tables.</w:t>
      </w:r>
      <w:r w:rsidR="00CE560A">
        <w:t xml:space="preserve"> </w:t>
      </w:r>
    </w:p>
    <w:p w14:paraId="56A3C4B3" w14:textId="7471100D" w:rsidR="00832653" w:rsidRDefault="00596B24" w:rsidP="005E374D">
      <w:pPr>
        <w:pStyle w:val="BodyText1"/>
      </w:pPr>
      <w:r w:rsidRPr="00904B60">
        <w:t>In the financial year 2018-19</w:t>
      </w:r>
      <w:r w:rsidR="00A9657D">
        <w:t>,</w:t>
      </w:r>
      <w:r w:rsidR="00971300" w:rsidRPr="00904B60">
        <w:t xml:space="preserve"> </w:t>
      </w:r>
      <w:r w:rsidR="009D292B">
        <w:t>fifteen</w:t>
      </w:r>
      <w:r w:rsidR="00CE560A" w:rsidRPr="00904B60">
        <w:t xml:space="preserve"> COAG </w:t>
      </w:r>
      <w:r w:rsidR="00FA1AC6">
        <w:t xml:space="preserve">Decision </w:t>
      </w:r>
      <w:r w:rsidR="00CE560A" w:rsidRPr="00904B60">
        <w:t xml:space="preserve">RISs </w:t>
      </w:r>
      <w:r w:rsidR="00FA1AC6">
        <w:t>were finalised</w:t>
      </w:r>
      <w:r w:rsidR="008A6F67">
        <w:t>, assessed as compliant by the OBPR,</w:t>
      </w:r>
      <w:r w:rsidR="00FA1AC6">
        <w:t xml:space="preserve"> and published.</w:t>
      </w:r>
      <w:r w:rsidR="00971300">
        <w:t xml:space="preserve"> </w:t>
      </w:r>
      <w:r w:rsidR="0032777B">
        <w:t>Five</w:t>
      </w:r>
      <w:r w:rsidR="006D2D05" w:rsidRPr="001F3098">
        <w:t xml:space="preserve"> COAG consultation RISs were </w:t>
      </w:r>
      <w:r w:rsidR="008A6F67">
        <w:t xml:space="preserve">assessed by the OBPR, and </w:t>
      </w:r>
      <w:r w:rsidR="006D2D05" w:rsidRPr="001F3098">
        <w:t>published.</w:t>
      </w:r>
      <w:bookmarkStart w:id="188" w:name="_Toc387412049"/>
      <w:bookmarkStart w:id="189" w:name="_Toc391977610"/>
      <w:bookmarkStart w:id="190" w:name="_Toc391985274"/>
      <w:bookmarkStart w:id="191" w:name="_Toc391985778"/>
      <w:bookmarkStart w:id="192" w:name="_Toc391985816"/>
      <w:bookmarkStart w:id="193" w:name="_Toc392582655"/>
      <w:bookmarkStart w:id="194" w:name="_Toc392583994"/>
      <w:bookmarkStart w:id="195" w:name="_Toc392751705"/>
      <w:bookmarkStart w:id="196" w:name="_Toc392852657"/>
      <w:bookmarkStart w:id="197" w:name="_Toc396743525"/>
      <w:bookmarkStart w:id="198" w:name="_Toc400100728"/>
      <w:bookmarkStart w:id="199" w:name="_Toc400101007"/>
      <w:bookmarkStart w:id="200" w:name="_Toc400104319"/>
    </w:p>
    <w:p w14:paraId="56A3C4B4" w14:textId="390C0F74" w:rsidR="00832653" w:rsidRDefault="00832653" w:rsidP="00832653">
      <w:pPr>
        <w:pStyle w:val="Heading2"/>
      </w:pPr>
      <w:bookmarkStart w:id="201" w:name="_Toc404606696"/>
      <w:bookmarkStart w:id="202" w:name="_Toc404603874"/>
      <w:bookmarkStart w:id="203" w:name="_Toc404599908"/>
      <w:bookmarkStart w:id="204" w:name="_Toc400627958"/>
      <w:bookmarkStart w:id="205" w:name="_Toc400109597"/>
      <w:bookmarkStart w:id="206" w:name="_Toc396480292"/>
      <w:bookmarkStart w:id="207" w:name="_Toc393462573"/>
      <w:bookmarkStart w:id="208" w:name="_Toc392589570"/>
      <w:bookmarkStart w:id="209" w:name="_Toc381283518"/>
      <w:bookmarkStart w:id="210" w:name="_Toc379966999"/>
      <w:bookmarkStart w:id="211" w:name="_Toc378240278"/>
      <w:bookmarkStart w:id="212" w:name="_Toc378058883"/>
      <w:bookmarkStart w:id="213" w:name="_Toc378058558"/>
      <w:bookmarkStart w:id="214" w:name="_Toc377474324"/>
      <w:bookmarkStart w:id="215" w:name="_Toc375560984"/>
      <w:bookmarkStart w:id="216" w:name="_Toc374526664"/>
      <w:bookmarkStart w:id="217" w:name="_Toc371337760"/>
      <w:bookmarkStart w:id="218" w:name="_Toc369272610"/>
      <w:bookmarkStart w:id="219" w:name="_Toc369272251"/>
      <w:bookmarkStart w:id="220" w:name="_Toc365277235"/>
      <w:bookmarkStart w:id="221" w:name="_Toc365277221"/>
      <w:bookmarkStart w:id="222" w:name="_Toc363719674"/>
      <w:bookmarkStart w:id="223" w:name="_Toc362420391"/>
      <w:bookmarkStart w:id="224" w:name="_Toc362335502"/>
      <w:bookmarkStart w:id="225" w:name="_Toc361929761"/>
      <w:bookmarkStart w:id="226" w:name="_Toc360453941"/>
      <w:bookmarkStart w:id="227" w:name="_Toc358983753"/>
      <w:bookmarkStart w:id="228" w:name="_Toc356569227"/>
      <w:bookmarkStart w:id="229" w:name="_Toc356295553"/>
      <w:bookmarkStart w:id="230" w:name="_Toc355615553"/>
      <w:bookmarkStart w:id="231" w:name="_Toc355604425"/>
      <w:bookmarkStart w:id="232" w:name="_Toc355604258"/>
      <w:bookmarkStart w:id="233" w:name="_Toc354048482"/>
      <w:bookmarkStart w:id="234" w:name="_Toc351553027"/>
      <w:bookmarkStart w:id="235" w:name="_Toc432587371"/>
      <w:bookmarkStart w:id="236" w:name="_Toc438539587"/>
      <w:bookmarkStart w:id="237" w:name="_Toc438539622"/>
      <w:bookmarkStart w:id="238" w:name="_Toc440639805"/>
      <w:bookmarkStart w:id="239" w:name="_Toc445973433"/>
      <w:bookmarkStart w:id="240" w:name="_Toc445974131"/>
      <w:bookmarkStart w:id="241" w:name="_Toc445974392"/>
      <w:bookmarkStart w:id="242" w:name="_Toc446318425"/>
      <w:bookmarkStart w:id="243" w:name="_Toc447532683"/>
      <w:bookmarkStart w:id="244" w:name="_Toc451168631"/>
      <w:bookmarkStart w:id="245" w:name="_Toc451264225"/>
      <w:bookmarkStart w:id="246" w:name="_Toc451264792"/>
      <w:bookmarkStart w:id="247" w:name="_Toc459800318"/>
      <w:bookmarkStart w:id="248" w:name="_Toc473715460"/>
      <w:bookmarkStart w:id="249" w:name="_Toc473900453"/>
      <w:bookmarkStart w:id="250" w:name="_Toc473900488"/>
      <w:bookmarkStart w:id="251" w:name="_Toc5280198"/>
      <w:bookmarkStart w:id="252" w:name="_Toc5611195"/>
      <w:bookmarkStart w:id="253" w:name="_Toc19865981"/>
      <w:bookmarkStart w:id="254" w:name="_Toc19866665"/>
      <w:bookmarkStart w:id="255" w:name="_Toc20150938"/>
      <w:bookmarkStart w:id="256" w:name="_Toc20151104"/>
      <w:bookmarkStart w:id="257" w:name="_Toc20235065"/>
      <w:bookmarkStart w:id="258" w:name="_Toc20302445"/>
      <w:bookmarkStart w:id="259" w:name="_Toc20384865"/>
      <w:r>
        <w:t>Compliance with the COAG R</w:t>
      </w:r>
      <w:r w:rsidR="00C30E67">
        <w:t>IS requirements 201</w:t>
      </w:r>
      <w:r w:rsidR="00596B24">
        <w:t>5</w:t>
      </w:r>
      <w:r w:rsidR="00C30E67">
        <w:t>-1</w:t>
      </w:r>
      <w:r w:rsidR="00596B24">
        <w:t>6</w:t>
      </w:r>
      <w:r w:rsidR="00C30E67">
        <w:t xml:space="preserve"> to 201</w:t>
      </w:r>
      <w:r w:rsidR="00596B24">
        <w:t>8</w:t>
      </w:r>
      <w:r>
        <w:t>-1</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00596B24">
        <w:t>9</w:t>
      </w:r>
      <w:bookmarkEnd w:id="251"/>
      <w:bookmarkEnd w:id="252"/>
      <w:bookmarkEnd w:id="253"/>
      <w:bookmarkEnd w:id="254"/>
      <w:bookmarkEnd w:id="255"/>
      <w:bookmarkEnd w:id="256"/>
      <w:bookmarkEnd w:id="257"/>
      <w:bookmarkEnd w:id="258"/>
      <w:bookmarkEnd w:id="259"/>
    </w:p>
    <w:tbl>
      <w:tblPr>
        <w:tblW w:w="0" w:type="auto"/>
        <w:tblInd w:w="720" w:type="dxa"/>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firstRow="1" w:lastRow="0" w:firstColumn="1" w:lastColumn="0" w:noHBand="0" w:noVBand="1"/>
        <w:tblCaption w:val="Compliance with the COAG RIS requirements 2014-15 to 2017-18"/>
        <w:tblDescription w:val="A table summarising the RIS compliance of COAG proposals within the 2014-15 to 2017-18 financial years, listing the number of RISs compliant at the consultation and decision-making stages."/>
      </w:tblPr>
      <w:tblGrid>
        <w:gridCol w:w="2392"/>
        <w:gridCol w:w="866"/>
        <w:gridCol w:w="526"/>
        <w:gridCol w:w="883"/>
        <w:gridCol w:w="497"/>
        <w:gridCol w:w="921"/>
        <w:gridCol w:w="479"/>
        <w:gridCol w:w="974"/>
        <w:gridCol w:w="476"/>
      </w:tblGrid>
      <w:tr w:rsidR="00C44B43" w14:paraId="56A3C4C2" w14:textId="77777777" w:rsidTr="00342DCD">
        <w:trPr>
          <w:tblHeader/>
        </w:trPr>
        <w:tc>
          <w:tcPr>
            <w:tcW w:w="2392" w:type="dxa"/>
            <w:tcBorders>
              <w:top w:val="single" w:sz="2" w:space="0" w:color="A7B4BE"/>
              <w:left w:val="nil"/>
              <w:bottom w:val="single" w:sz="2" w:space="0" w:color="A7B4BE"/>
              <w:right w:val="single" w:sz="2" w:space="0" w:color="A7B4BE"/>
            </w:tcBorders>
            <w:shd w:val="clear" w:color="auto" w:fill="FFCC99"/>
            <w:vAlign w:val="center"/>
            <w:hideMark/>
          </w:tcPr>
          <w:p w14:paraId="56A3C4B5" w14:textId="77777777" w:rsidR="00C44B43" w:rsidRPr="00A16728" w:rsidRDefault="00C44B43" w:rsidP="00C44B43">
            <w:pPr>
              <w:pStyle w:val="Tablecolumnheading"/>
            </w:pPr>
            <w:r w:rsidRPr="00A16728">
              <w:t>Stage</w:t>
            </w:r>
          </w:p>
        </w:tc>
        <w:tc>
          <w:tcPr>
            <w:tcW w:w="866" w:type="dxa"/>
            <w:tcBorders>
              <w:top w:val="single" w:sz="2" w:space="0" w:color="A7B4BE"/>
              <w:left w:val="single" w:sz="2" w:space="0" w:color="A7B4BE"/>
              <w:bottom w:val="single" w:sz="2" w:space="0" w:color="A7B4BE"/>
              <w:right w:val="nil"/>
            </w:tcBorders>
            <w:shd w:val="clear" w:color="auto" w:fill="FFCC99"/>
            <w:vAlign w:val="center"/>
            <w:hideMark/>
          </w:tcPr>
          <w:p w14:paraId="56A3C4B6" w14:textId="6D66E344" w:rsidR="00C44B43" w:rsidRPr="00A16728" w:rsidRDefault="00C44B43" w:rsidP="00C44B43">
            <w:pPr>
              <w:pStyle w:val="Tablecolumnheading"/>
            </w:pPr>
            <w:r w:rsidRPr="00A16728">
              <w:t>201</w:t>
            </w:r>
            <w:r w:rsidR="00596B24">
              <w:t>5-16</w:t>
            </w:r>
          </w:p>
          <w:p w14:paraId="56A3C4B7" w14:textId="77777777" w:rsidR="00C44B43" w:rsidRPr="00A16728" w:rsidRDefault="00C44B43" w:rsidP="00C44B43">
            <w:pPr>
              <w:pStyle w:val="Tablecolumnheading"/>
            </w:pPr>
            <w:r w:rsidRPr="00A16728">
              <w:t xml:space="preserve">ratio </w:t>
            </w:r>
          </w:p>
        </w:tc>
        <w:tc>
          <w:tcPr>
            <w:tcW w:w="511" w:type="dxa"/>
            <w:tcBorders>
              <w:top w:val="single" w:sz="2" w:space="0" w:color="A7B4BE"/>
              <w:left w:val="nil"/>
              <w:bottom w:val="single" w:sz="2" w:space="0" w:color="A7B4BE"/>
              <w:right w:val="single" w:sz="2" w:space="0" w:color="A7B4BE"/>
            </w:tcBorders>
            <w:shd w:val="clear" w:color="auto" w:fill="FFCC99"/>
            <w:vAlign w:val="bottom"/>
            <w:hideMark/>
          </w:tcPr>
          <w:p w14:paraId="56A3C4B8" w14:textId="77777777" w:rsidR="00C44B43" w:rsidRPr="00A16728" w:rsidRDefault="00C44B43" w:rsidP="00C44B43">
            <w:pPr>
              <w:pStyle w:val="Tablecolumnheading"/>
            </w:pPr>
            <w:r w:rsidRPr="00A16728">
              <w:t>%</w:t>
            </w:r>
          </w:p>
        </w:tc>
        <w:tc>
          <w:tcPr>
            <w:tcW w:w="883" w:type="dxa"/>
            <w:tcBorders>
              <w:top w:val="single" w:sz="2" w:space="0" w:color="A7B4BE"/>
              <w:left w:val="single" w:sz="2" w:space="0" w:color="A7B4BE"/>
              <w:bottom w:val="single" w:sz="2" w:space="0" w:color="A7B4BE"/>
              <w:right w:val="nil"/>
            </w:tcBorders>
            <w:shd w:val="clear" w:color="auto" w:fill="FFCC99"/>
            <w:hideMark/>
          </w:tcPr>
          <w:p w14:paraId="56A3C4B9" w14:textId="4034F938" w:rsidR="00C44B43" w:rsidRPr="00A16728" w:rsidRDefault="00C44B43" w:rsidP="00C44B43">
            <w:pPr>
              <w:pStyle w:val="Tablecolumnheading"/>
            </w:pPr>
            <w:r w:rsidRPr="00A16728">
              <w:t>201</w:t>
            </w:r>
            <w:r w:rsidR="00596B24">
              <w:t>6</w:t>
            </w:r>
            <w:r w:rsidRPr="00A16728">
              <w:t>-1</w:t>
            </w:r>
            <w:r w:rsidR="00596B24">
              <w:t>7</w:t>
            </w:r>
            <w:r>
              <w:t xml:space="preserve"> </w:t>
            </w:r>
            <w:r w:rsidRPr="00A16728">
              <w:t xml:space="preserve">ratio </w:t>
            </w:r>
          </w:p>
        </w:tc>
        <w:tc>
          <w:tcPr>
            <w:tcW w:w="497" w:type="dxa"/>
            <w:tcBorders>
              <w:top w:val="single" w:sz="2" w:space="0" w:color="A7B4BE"/>
              <w:left w:val="nil"/>
              <w:bottom w:val="single" w:sz="2" w:space="0" w:color="A7B4BE"/>
              <w:right w:val="single" w:sz="2" w:space="0" w:color="A7B4BE"/>
            </w:tcBorders>
            <w:shd w:val="clear" w:color="auto" w:fill="FFCC99"/>
          </w:tcPr>
          <w:p w14:paraId="56A3C4BA" w14:textId="77777777" w:rsidR="00C44B43" w:rsidRPr="00A16728" w:rsidRDefault="00C44B43" w:rsidP="00C44B43">
            <w:pPr>
              <w:pStyle w:val="Tablecolumnheading"/>
              <w:ind w:left="0"/>
            </w:pPr>
          </w:p>
          <w:p w14:paraId="56A3C4BB" w14:textId="77777777" w:rsidR="00C44B43" w:rsidRPr="00A16728" w:rsidRDefault="00C44B43" w:rsidP="00C44B43">
            <w:pPr>
              <w:pStyle w:val="Tablecolumnheading"/>
            </w:pPr>
            <w:r w:rsidRPr="00A16728">
              <w:t xml:space="preserve"> %</w:t>
            </w:r>
          </w:p>
        </w:tc>
        <w:tc>
          <w:tcPr>
            <w:tcW w:w="921" w:type="dxa"/>
            <w:tcBorders>
              <w:top w:val="single" w:sz="2" w:space="0" w:color="A7B4BE"/>
              <w:left w:val="single" w:sz="2" w:space="0" w:color="A7B4BE"/>
              <w:bottom w:val="single" w:sz="2" w:space="0" w:color="A7B4BE"/>
              <w:right w:val="nil"/>
            </w:tcBorders>
            <w:shd w:val="clear" w:color="auto" w:fill="FFCC99"/>
          </w:tcPr>
          <w:p w14:paraId="56A3C4BC" w14:textId="00506CF5" w:rsidR="00C44B43" w:rsidRPr="00DF2CC5" w:rsidRDefault="00C44B43" w:rsidP="00C44B43">
            <w:pPr>
              <w:pStyle w:val="Tablecolumnheading"/>
            </w:pPr>
            <w:r w:rsidRPr="00DF2CC5">
              <w:t>201</w:t>
            </w:r>
            <w:r w:rsidR="00596B24">
              <w:t>7</w:t>
            </w:r>
            <w:r w:rsidRPr="00DF2CC5">
              <w:t>-1</w:t>
            </w:r>
            <w:r w:rsidR="00596B24">
              <w:t>8</w:t>
            </w:r>
            <w:r>
              <w:t xml:space="preserve">  </w:t>
            </w:r>
            <w:r w:rsidRPr="00DF2CC5">
              <w:t xml:space="preserve">ratio </w:t>
            </w:r>
          </w:p>
        </w:tc>
        <w:tc>
          <w:tcPr>
            <w:tcW w:w="458" w:type="dxa"/>
            <w:tcBorders>
              <w:top w:val="single" w:sz="2" w:space="0" w:color="A7B4BE"/>
              <w:left w:val="nil"/>
              <w:bottom w:val="single" w:sz="2" w:space="0" w:color="A7B4BE"/>
              <w:right w:val="single" w:sz="2" w:space="0" w:color="A7B4BE"/>
            </w:tcBorders>
            <w:shd w:val="clear" w:color="auto" w:fill="FFCC99"/>
          </w:tcPr>
          <w:p w14:paraId="56A3C4BD" w14:textId="77777777" w:rsidR="00C44B43" w:rsidRPr="00DF2CC5" w:rsidRDefault="00C44B43" w:rsidP="00C44B43">
            <w:pPr>
              <w:pStyle w:val="Tablecolumnheading"/>
              <w:ind w:left="0"/>
            </w:pPr>
          </w:p>
          <w:p w14:paraId="56A3C4BE" w14:textId="77777777" w:rsidR="00C44B43" w:rsidRPr="00DF2CC5" w:rsidRDefault="00C44B43" w:rsidP="00C44B43">
            <w:pPr>
              <w:pStyle w:val="Tablecolumnheading"/>
            </w:pPr>
            <w:r w:rsidRPr="00DF2CC5">
              <w:t xml:space="preserve"> %</w:t>
            </w:r>
          </w:p>
        </w:tc>
        <w:tc>
          <w:tcPr>
            <w:tcW w:w="974" w:type="dxa"/>
            <w:tcBorders>
              <w:top w:val="nil"/>
              <w:left w:val="nil"/>
              <w:bottom w:val="nil"/>
              <w:right w:val="nil"/>
            </w:tcBorders>
            <w:shd w:val="clear" w:color="auto" w:fill="FFCC99"/>
          </w:tcPr>
          <w:p w14:paraId="56A3C4BF" w14:textId="3669E59C" w:rsidR="00C44B43" w:rsidRPr="00DF2CC5" w:rsidRDefault="00C44B43" w:rsidP="00542F25">
            <w:pPr>
              <w:pStyle w:val="Tablecolumnheading"/>
            </w:pPr>
            <w:r w:rsidRPr="00DF2CC5">
              <w:t>201</w:t>
            </w:r>
            <w:r w:rsidR="00E8156C">
              <w:t>8</w:t>
            </w:r>
            <w:r w:rsidRPr="00DF2CC5">
              <w:t>-1</w:t>
            </w:r>
            <w:r w:rsidR="00E8156C">
              <w:t>9</w:t>
            </w:r>
            <w:r w:rsidRPr="00DF2CC5">
              <w:t xml:space="preserve"> ratio</w:t>
            </w:r>
            <w:r w:rsidR="00342DCD">
              <w:t xml:space="preserve"> </w:t>
            </w:r>
          </w:p>
        </w:tc>
        <w:tc>
          <w:tcPr>
            <w:tcW w:w="476" w:type="dxa"/>
            <w:tcBorders>
              <w:top w:val="nil"/>
              <w:left w:val="nil"/>
              <w:bottom w:val="nil"/>
              <w:right w:val="nil"/>
            </w:tcBorders>
            <w:shd w:val="clear" w:color="auto" w:fill="FFCC99"/>
          </w:tcPr>
          <w:p w14:paraId="56A3C4C0" w14:textId="77777777" w:rsidR="00342DCD" w:rsidRDefault="00342DCD" w:rsidP="00C44B43">
            <w:pPr>
              <w:pStyle w:val="Tablecolumnheading"/>
            </w:pPr>
          </w:p>
          <w:p w14:paraId="56A3C4C1" w14:textId="77777777" w:rsidR="00C44B43" w:rsidRPr="00DF2CC5" w:rsidRDefault="00342DCD" w:rsidP="00C44B43">
            <w:pPr>
              <w:pStyle w:val="Tablecolumnheading"/>
            </w:pPr>
            <w:r>
              <w:t>%</w:t>
            </w:r>
          </w:p>
        </w:tc>
      </w:tr>
      <w:tr w:rsidR="00C44B43" w:rsidRPr="00904B60" w14:paraId="56A3C4CC" w14:textId="77777777" w:rsidTr="00342DCD">
        <w:tc>
          <w:tcPr>
            <w:tcW w:w="2392" w:type="dxa"/>
            <w:tcBorders>
              <w:top w:val="single" w:sz="2" w:space="0" w:color="A7B4BE"/>
              <w:left w:val="nil"/>
              <w:bottom w:val="single" w:sz="2" w:space="0" w:color="A7B4BE"/>
              <w:right w:val="single" w:sz="2" w:space="0" w:color="A7B4BE"/>
            </w:tcBorders>
            <w:hideMark/>
          </w:tcPr>
          <w:p w14:paraId="56A3C4C3" w14:textId="0DC49DB3" w:rsidR="00C44B43" w:rsidRPr="00B20104" w:rsidRDefault="00C44B43" w:rsidP="00C44B43">
            <w:pPr>
              <w:pStyle w:val="Tablebodytext"/>
              <w:rPr>
                <w:b/>
              </w:rPr>
            </w:pPr>
            <w:r w:rsidRPr="00B20104">
              <w:rPr>
                <w:b/>
              </w:rPr>
              <w:t xml:space="preserve">Consultation </w:t>
            </w:r>
            <w:proofErr w:type="spellStart"/>
            <w:r w:rsidRPr="00B20104">
              <w:rPr>
                <w:b/>
              </w:rPr>
              <w:t>stage</w:t>
            </w:r>
            <w:r w:rsidR="00A9657D">
              <w:rPr>
                <w:b/>
                <w:vertAlign w:val="superscript"/>
              </w:rPr>
              <w:t>a</w:t>
            </w:r>
            <w:proofErr w:type="spellEnd"/>
          </w:p>
        </w:tc>
        <w:tc>
          <w:tcPr>
            <w:tcW w:w="866" w:type="dxa"/>
            <w:tcBorders>
              <w:top w:val="single" w:sz="2" w:space="0" w:color="A7B4BE"/>
              <w:left w:val="single" w:sz="2" w:space="0" w:color="A7B4BE"/>
              <w:bottom w:val="single" w:sz="2" w:space="0" w:color="A7B4BE"/>
              <w:right w:val="nil"/>
            </w:tcBorders>
          </w:tcPr>
          <w:p w14:paraId="56A3C4C4" w14:textId="2DA1D273" w:rsidR="00C44B43" w:rsidRPr="00B20104" w:rsidRDefault="00596B24" w:rsidP="00C44B43">
            <w:pPr>
              <w:pStyle w:val="Tablebodytext"/>
            </w:pPr>
            <w:r>
              <w:t>13/14</w:t>
            </w:r>
          </w:p>
        </w:tc>
        <w:tc>
          <w:tcPr>
            <w:tcW w:w="511" w:type="dxa"/>
            <w:tcBorders>
              <w:top w:val="single" w:sz="2" w:space="0" w:color="A7B4BE"/>
              <w:left w:val="nil"/>
              <w:bottom w:val="single" w:sz="2" w:space="0" w:color="A7B4BE"/>
              <w:right w:val="single" w:sz="2" w:space="0" w:color="A7B4BE"/>
            </w:tcBorders>
          </w:tcPr>
          <w:p w14:paraId="56A3C4C5" w14:textId="44E111A6" w:rsidR="00C44B43" w:rsidRPr="00B20104" w:rsidRDefault="00596B24" w:rsidP="00C44B43">
            <w:pPr>
              <w:pStyle w:val="Tablebodytext"/>
            </w:pPr>
            <w:r>
              <w:t>93</w:t>
            </w:r>
          </w:p>
        </w:tc>
        <w:tc>
          <w:tcPr>
            <w:tcW w:w="883" w:type="dxa"/>
            <w:tcBorders>
              <w:top w:val="single" w:sz="2" w:space="0" w:color="A7B4BE"/>
              <w:left w:val="single" w:sz="2" w:space="0" w:color="A7B4BE"/>
              <w:bottom w:val="single" w:sz="2" w:space="0" w:color="A7B4BE"/>
              <w:right w:val="nil"/>
            </w:tcBorders>
          </w:tcPr>
          <w:p w14:paraId="56A3C4C6" w14:textId="705EEFC6" w:rsidR="00C44B43" w:rsidRPr="00012928" w:rsidRDefault="00C44B43" w:rsidP="00E24DA5">
            <w:pPr>
              <w:pStyle w:val="Tablebodytext"/>
            </w:pPr>
            <w:r w:rsidRPr="00012928">
              <w:t>1</w:t>
            </w:r>
            <w:r w:rsidR="00596B24">
              <w:t>0/11</w:t>
            </w:r>
          </w:p>
        </w:tc>
        <w:tc>
          <w:tcPr>
            <w:tcW w:w="497" w:type="dxa"/>
            <w:tcBorders>
              <w:top w:val="single" w:sz="2" w:space="0" w:color="A7B4BE"/>
              <w:left w:val="nil"/>
              <w:bottom w:val="single" w:sz="2" w:space="0" w:color="A7B4BE"/>
              <w:right w:val="single" w:sz="2" w:space="0" w:color="A7B4BE"/>
            </w:tcBorders>
            <w:shd w:val="clear" w:color="auto" w:fill="auto"/>
          </w:tcPr>
          <w:p w14:paraId="56A3C4C7" w14:textId="39A190DF" w:rsidR="00C44B43" w:rsidRPr="00012928" w:rsidRDefault="00596B24" w:rsidP="008F3949">
            <w:pPr>
              <w:pStyle w:val="Tablebodytext"/>
            </w:pPr>
            <w:r>
              <w:t>90</w:t>
            </w:r>
          </w:p>
        </w:tc>
        <w:tc>
          <w:tcPr>
            <w:tcW w:w="921" w:type="dxa"/>
            <w:tcBorders>
              <w:top w:val="single" w:sz="2" w:space="0" w:color="A7B4BE"/>
              <w:left w:val="single" w:sz="2" w:space="0" w:color="A7B4BE"/>
              <w:bottom w:val="single" w:sz="2" w:space="0" w:color="A7B4BE"/>
              <w:right w:val="nil"/>
            </w:tcBorders>
            <w:shd w:val="clear" w:color="auto" w:fill="auto"/>
          </w:tcPr>
          <w:p w14:paraId="56A3C4C8" w14:textId="1EA1DD13" w:rsidR="00C44B43" w:rsidRPr="00904B60" w:rsidRDefault="008611A2" w:rsidP="00C44B43">
            <w:pPr>
              <w:pStyle w:val="Tablebodytext"/>
            </w:pPr>
            <w:r w:rsidRPr="00904B60">
              <w:t>6/6</w:t>
            </w:r>
          </w:p>
        </w:tc>
        <w:tc>
          <w:tcPr>
            <w:tcW w:w="458" w:type="dxa"/>
            <w:tcBorders>
              <w:top w:val="single" w:sz="2" w:space="0" w:color="A7B4BE"/>
              <w:left w:val="nil"/>
              <w:bottom w:val="single" w:sz="2" w:space="0" w:color="A7B4BE"/>
              <w:right w:val="single" w:sz="2" w:space="0" w:color="A7B4BE"/>
            </w:tcBorders>
            <w:shd w:val="clear" w:color="auto" w:fill="auto"/>
          </w:tcPr>
          <w:p w14:paraId="56A3C4C9" w14:textId="6899BFA8" w:rsidR="00C44B43" w:rsidRPr="00904B60" w:rsidRDefault="00596B24" w:rsidP="00C44B43">
            <w:pPr>
              <w:pStyle w:val="Tablebodytext"/>
            </w:pPr>
            <w:r w:rsidRPr="00904B60">
              <w:t>100</w:t>
            </w:r>
          </w:p>
        </w:tc>
        <w:tc>
          <w:tcPr>
            <w:tcW w:w="974" w:type="dxa"/>
            <w:tcBorders>
              <w:top w:val="nil"/>
              <w:left w:val="nil"/>
              <w:bottom w:val="single" w:sz="2" w:space="0" w:color="A7B4BE"/>
              <w:right w:val="nil"/>
            </w:tcBorders>
            <w:shd w:val="clear" w:color="auto" w:fill="auto"/>
          </w:tcPr>
          <w:p w14:paraId="56A3C4CA" w14:textId="24D1E03E" w:rsidR="00C44B43" w:rsidRPr="00904B60" w:rsidRDefault="00920A25" w:rsidP="00C44B43">
            <w:pPr>
              <w:pStyle w:val="Tablebodytext"/>
            </w:pPr>
            <w:r>
              <w:t>15/15</w:t>
            </w:r>
          </w:p>
        </w:tc>
        <w:tc>
          <w:tcPr>
            <w:tcW w:w="476" w:type="dxa"/>
            <w:tcBorders>
              <w:top w:val="nil"/>
              <w:left w:val="nil"/>
              <w:bottom w:val="single" w:sz="2" w:space="0" w:color="A7B4BE"/>
              <w:right w:val="nil"/>
            </w:tcBorders>
          </w:tcPr>
          <w:p w14:paraId="56A3C4CB" w14:textId="0026B672" w:rsidR="00C44B43" w:rsidRPr="00904B60" w:rsidRDefault="00904B60" w:rsidP="00C44B43">
            <w:pPr>
              <w:pStyle w:val="Tablebodytext"/>
            </w:pPr>
            <w:r w:rsidRPr="00904B60">
              <w:t>100</w:t>
            </w:r>
          </w:p>
        </w:tc>
      </w:tr>
      <w:tr w:rsidR="00C44B43" w:rsidRPr="009E2979" w14:paraId="56A3C4D6" w14:textId="77777777" w:rsidTr="00C44B43">
        <w:tc>
          <w:tcPr>
            <w:tcW w:w="2392" w:type="dxa"/>
            <w:tcBorders>
              <w:top w:val="single" w:sz="2" w:space="0" w:color="A7B4BE"/>
              <w:left w:val="nil"/>
              <w:bottom w:val="single" w:sz="2" w:space="0" w:color="A7B4BE"/>
              <w:right w:val="single" w:sz="2" w:space="0" w:color="A7B4BE"/>
            </w:tcBorders>
            <w:hideMark/>
          </w:tcPr>
          <w:p w14:paraId="56A3C4CD" w14:textId="77777777" w:rsidR="00C44B43" w:rsidRPr="00B20104" w:rsidRDefault="00C44B43" w:rsidP="00C44B43">
            <w:pPr>
              <w:pStyle w:val="Tablebodytext"/>
              <w:rPr>
                <w:b/>
              </w:rPr>
            </w:pPr>
            <w:r w:rsidRPr="00B20104">
              <w:rPr>
                <w:b/>
              </w:rPr>
              <w:t>Decision-making stage</w:t>
            </w:r>
          </w:p>
        </w:tc>
        <w:tc>
          <w:tcPr>
            <w:tcW w:w="866" w:type="dxa"/>
            <w:tcBorders>
              <w:top w:val="single" w:sz="2" w:space="0" w:color="A7B4BE"/>
              <w:left w:val="single" w:sz="2" w:space="0" w:color="A7B4BE"/>
              <w:bottom w:val="single" w:sz="2" w:space="0" w:color="A7B4BE"/>
              <w:right w:val="nil"/>
            </w:tcBorders>
          </w:tcPr>
          <w:p w14:paraId="56A3C4CE" w14:textId="343F88E3" w:rsidR="00C44B43" w:rsidRPr="00B20104" w:rsidRDefault="00596B24" w:rsidP="00C44B43">
            <w:pPr>
              <w:pStyle w:val="Tablebodytext"/>
            </w:pPr>
            <w:r>
              <w:t>11/14</w:t>
            </w:r>
          </w:p>
        </w:tc>
        <w:tc>
          <w:tcPr>
            <w:tcW w:w="511" w:type="dxa"/>
            <w:tcBorders>
              <w:top w:val="single" w:sz="2" w:space="0" w:color="A7B4BE"/>
              <w:left w:val="nil"/>
              <w:bottom w:val="single" w:sz="2" w:space="0" w:color="A7B4BE"/>
              <w:right w:val="single" w:sz="2" w:space="0" w:color="A7B4BE"/>
            </w:tcBorders>
          </w:tcPr>
          <w:p w14:paraId="56A3C4CF" w14:textId="672E219E" w:rsidR="00C44B43" w:rsidRPr="00B20104" w:rsidRDefault="00596B24" w:rsidP="00C44B43">
            <w:pPr>
              <w:pStyle w:val="Tablebodytext"/>
            </w:pPr>
            <w:r>
              <w:t>78.5</w:t>
            </w:r>
          </w:p>
        </w:tc>
        <w:tc>
          <w:tcPr>
            <w:tcW w:w="883" w:type="dxa"/>
            <w:tcBorders>
              <w:top w:val="single" w:sz="2" w:space="0" w:color="A7B4BE"/>
              <w:left w:val="single" w:sz="2" w:space="0" w:color="A7B4BE"/>
              <w:bottom w:val="single" w:sz="2" w:space="0" w:color="A7B4BE"/>
              <w:right w:val="nil"/>
            </w:tcBorders>
          </w:tcPr>
          <w:p w14:paraId="56A3C4D0" w14:textId="7CE854CB" w:rsidR="00C44B43" w:rsidRPr="00012928" w:rsidRDefault="00596B24" w:rsidP="00012928">
            <w:pPr>
              <w:pStyle w:val="Tablebodytext"/>
            </w:pPr>
            <w:r>
              <w:t>10/11</w:t>
            </w:r>
          </w:p>
        </w:tc>
        <w:tc>
          <w:tcPr>
            <w:tcW w:w="497" w:type="dxa"/>
            <w:tcBorders>
              <w:top w:val="single" w:sz="2" w:space="0" w:color="A7B4BE"/>
              <w:left w:val="nil"/>
              <w:bottom w:val="single" w:sz="2" w:space="0" w:color="A7B4BE"/>
              <w:right w:val="single" w:sz="2" w:space="0" w:color="A7B4BE"/>
            </w:tcBorders>
            <w:shd w:val="clear" w:color="auto" w:fill="auto"/>
          </w:tcPr>
          <w:p w14:paraId="56A3C4D1" w14:textId="699B1DAF" w:rsidR="00C44B43" w:rsidRPr="00012928" w:rsidRDefault="00596B24" w:rsidP="00575BB9">
            <w:pPr>
              <w:pStyle w:val="Tablebodytext"/>
            </w:pPr>
            <w:r>
              <w:t>90</w:t>
            </w:r>
          </w:p>
        </w:tc>
        <w:tc>
          <w:tcPr>
            <w:tcW w:w="921" w:type="dxa"/>
            <w:tcBorders>
              <w:top w:val="single" w:sz="2" w:space="0" w:color="A7B4BE"/>
              <w:left w:val="single" w:sz="2" w:space="0" w:color="A7B4BE"/>
              <w:bottom w:val="single" w:sz="2" w:space="0" w:color="A7B4BE"/>
              <w:right w:val="nil"/>
            </w:tcBorders>
            <w:shd w:val="clear" w:color="auto" w:fill="auto"/>
          </w:tcPr>
          <w:p w14:paraId="56A3C4D2" w14:textId="39077945" w:rsidR="00C44B43" w:rsidRPr="00012928" w:rsidRDefault="008611A2" w:rsidP="00C44B43">
            <w:pPr>
              <w:pStyle w:val="Tablebodytext"/>
            </w:pPr>
            <w:r>
              <w:t>6/6</w:t>
            </w:r>
          </w:p>
        </w:tc>
        <w:tc>
          <w:tcPr>
            <w:tcW w:w="458" w:type="dxa"/>
            <w:tcBorders>
              <w:top w:val="single" w:sz="2" w:space="0" w:color="A7B4BE"/>
              <w:left w:val="nil"/>
              <w:bottom w:val="single" w:sz="2" w:space="0" w:color="A7B4BE"/>
              <w:right w:val="single" w:sz="2" w:space="0" w:color="A7B4BE"/>
            </w:tcBorders>
            <w:shd w:val="clear" w:color="auto" w:fill="auto"/>
          </w:tcPr>
          <w:p w14:paraId="56A3C4D3" w14:textId="5A00606B" w:rsidR="00C44B43" w:rsidRPr="00012928" w:rsidRDefault="00596B24" w:rsidP="00C44B43">
            <w:pPr>
              <w:pStyle w:val="Tablebodytext"/>
            </w:pPr>
            <w:r>
              <w:t>100</w:t>
            </w:r>
          </w:p>
        </w:tc>
        <w:tc>
          <w:tcPr>
            <w:tcW w:w="974" w:type="dxa"/>
            <w:tcBorders>
              <w:top w:val="single" w:sz="2" w:space="0" w:color="A7B4BE"/>
              <w:left w:val="nil"/>
              <w:bottom w:val="single" w:sz="2" w:space="0" w:color="A7B4BE"/>
              <w:right w:val="nil"/>
            </w:tcBorders>
            <w:shd w:val="clear" w:color="auto" w:fill="auto"/>
          </w:tcPr>
          <w:p w14:paraId="56A3C4D4" w14:textId="0568F543" w:rsidR="00C44B43" w:rsidRPr="009E2979" w:rsidRDefault="00920A25" w:rsidP="00C44B43">
            <w:pPr>
              <w:pStyle w:val="Tablebodytext"/>
            </w:pPr>
            <w:r>
              <w:t>15/15</w:t>
            </w:r>
          </w:p>
        </w:tc>
        <w:tc>
          <w:tcPr>
            <w:tcW w:w="476" w:type="dxa"/>
            <w:tcBorders>
              <w:top w:val="single" w:sz="2" w:space="0" w:color="A7B4BE"/>
              <w:left w:val="nil"/>
              <w:bottom w:val="single" w:sz="2" w:space="0" w:color="A7B4BE"/>
              <w:right w:val="nil"/>
            </w:tcBorders>
          </w:tcPr>
          <w:p w14:paraId="56A3C4D5" w14:textId="005CBA5D" w:rsidR="00C44B43" w:rsidRPr="009E2979" w:rsidRDefault="00904B60" w:rsidP="00C44B43">
            <w:pPr>
              <w:pStyle w:val="Tablebodytext"/>
            </w:pPr>
            <w:r w:rsidRPr="009E2979">
              <w:t>100</w:t>
            </w:r>
          </w:p>
        </w:tc>
      </w:tr>
    </w:tbl>
    <w:p w14:paraId="7F8D2686" w14:textId="77777777" w:rsidR="00C8725F" w:rsidRDefault="00C8725F" w:rsidP="00832653">
      <w:pPr>
        <w:pStyle w:val="Sourcenotetext"/>
      </w:pPr>
    </w:p>
    <w:p w14:paraId="56A3C4D8" w14:textId="5879AA0A" w:rsidR="0077323B" w:rsidRDefault="00A9657D" w:rsidP="00832653">
      <w:pPr>
        <w:pStyle w:val="Sourcenotetext"/>
        <w:spacing w:after="240"/>
      </w:pPr>
      <w:proofErr w:type="spellStart"/>
      <w:proofErr w:type="gramStart"/>
      <w:r>
        <w:t>a</w:t>
      </w:r>
      <w:proofErr w:type="spellEnd"/>
      <w:proofErr w:type="gramEnd"/>
      <w:r w:rsidR="00832653" w:rsidRPr="00B20104">
        <w:t xml:space="preserve"> </w:t>
      </w:r>
      <w:r w:rsidR="00061BF4" w:rsidRPr="00061BF4">
        <w:t>The consultation stage figures relate to those decisions at the consultation stage for which a corresponding decision RIS at the decision-making stage has been announced.</w:t>
      </w:r>
    </w:p>
    <w:bookmarkEnd w:id="188"/>
    <w:bookmarkEnd w:id="189"/>
    <w:bookmarkEnd w:id="190"/>
    <w:bookmarkEnd w:id="191"/>
    <w:bookmarkEnd w:id="192"/>
    <w:bookmarkEnd w:id="193"/>
    <w:bookmarkEnd w:id="194"/>
    <w:bookmarkEnd w:id="195"/>
    <w:bookmarkEnd w:id="196"/>
    <w:bookmarkEnd w:id="197"/>
    <w:bookmarkEnd w:id="198"/>
    <w:bookmarkEnd w:id="199"/>
    <w:bookmarkEnd w:id="200"/>
    <w:p w14:paraId="56A3C4D9" w14:textId="1EC9D434" w:rsidR="0077323B" w:rsidRPr="00354504" w:rsidRDefault="00153DC0" w:rsidP="00354504">
      <w:pPr>
        <w:pStyle w:val="Heading2"/>
      </w:pPr>
      <w:r>
        <w:t xml:space="preserve"> </w:t>
      </w:r>
      <w:bookmarkStart w:id="260" w:name="_Toc5280199"/>
      <w:bookmarkStart w:id="261" w:name="_Toc5611196"/>
      <w:bookmarkStart w:id="262" w:name="_Toc19865982"/>
      <w:bookmarkStart w:id="263" w:name="_Toc19866666"/>
      <w:bookmarkStart w:id="264" w:name="_Toc20150939"/>
      <w:bookmarkStart w:id="265" w:name="_Toc20151105"/>
      <w:bookmarkStart w:id="266" w:name="_Toc20235066"/>
      <w:bookmarkStart w:id="267" w:name="_Toc20302446"/>
      <w:bookmarkStart w:id="268" w:name="_Toc20384866"/>
      <w:r w:rsidR="0077323B" w:rsidRPr="00354504">
        <w:t xml:space="preserve">COAG </w:t>
      </w:r>
      <w:r w:rsidR="000646E5" w:rsidRPr="00354504">
        <w:t>Consultation RISs prepared 201</w:t>
      </w:r>
      <w:r w:rsidR="00596B24">
        <w:t xml:space="preserve">5-16 </w:t>
      </w:r>
      <w:r w:rsidR="0077323B" w:rsidRPr="00354504">
        <w:t>to 201</w:t>
      </w:r>
      <w:r w:rsidR="00596B24">
        <w:t>8</w:t>
      </w:r>
      <w:r w:rsidR="0077323B" w:rsidRPr="00354504">
        <w:t>-1</w:t>
      </w:r>
      <w:r w:rsidR="00596B24">
        <w:t>9</w:t>
      </w:r>
      <w:bookmarkEnd w:id="260"/>
      <w:bookmarkEnd w:id="261"/>
      <w:bookmarkEnd w:id="262"/>
      <w:bookmarkEnd w:id="263"/>
      <w:bookmarkEnd w:id="264"/>
      <w:bookmarkEnd w:id="265"/>
      <w:bookmarkEnd w:id="266"/>
      <w:bookmarkEnd w:id="267"/>
      <w:bookmarkEnd w:id="268"/>
    </w:p>
    <w:tbl>
      <w:tblPr>
        <w:tblW w:w="0" w:type="auto"/>
        <w:tblInd w:w="720" w:type="dxa"/>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firstRow="1" w:lastRow="0" w:firstColumn="1" w:lastColumn="0" w:noHBand="0" w:noVBand="1"/>
        <w:tblCaption w:val="COAG Consultation RISs prepared 2014-15 to 2017-18"/>
        <w:tblDescription w:val="A table summarising the number of COAG Consultation RISs prepared within the 2014-15 to 2017-18 financial years."/>
      </w:tblPr>
      <w:tblGrid>
        <w:gridCol w:w="2399"/>
        <w:gridCol w:w="1417"/>
        <w:gridCol w:w="1418"/>
        <w:gridCol w:w="1276"/>
        <w:gridCol w:w="1559"/>
      </w:tblGrid>
      <w:tr w:rsidR="000646E5" w:rsidRPr="0064756D" w14:paraId="56A3C4DF" w14:textId="77777777" w:rsidTr="000646E5">
        <w:trPr>
          <w:tblHeader/>
        </w:trPr>
        <w:tc>
          <w:tcPr>
            <w:tcW w:w="2399" w:type="dxa"/>
            <w:tcBorders>
              <w:top w:val="single" w:sz="4" w:space="0" w:color="A7B4BE"/>
              <w:left w:val="nil"/>
              <w:bottom w:val="single" w:sz="2" w:space="0" w:color="A7B4BE"/>
              <w:right w:val="single" w:sz="2" w:space="0" w:color="A7B4BE"/>
            </w:tcBorders>
            <w:shd w:val="clear" w:color="auto" w:fill="FFCC99"/>
            <w:vAlign w:val="center"/>
          </w:tcPr>
          <w:p w14:paraId="56A3C4DA" w14:textId="77777777" w:rsidR="000646E5" w:rsidRPr="00E86491" w:rsidRDefault="000646E5" w:rsidP="00754FDB">
            <w:pPr>
              <w:pStyle w:val="Tablecolumnheading"/>
            </w:pPr>
          </w:p>
        </w:tc>
        <w:tc>
          <w:tcPr>
            <w:tcW w:w="1417" w:type="dxa"/>
            <w:tcBorders>
              <w:top w:val="single" w:sz="4" w:space="0" w:color="A7B4BE"/>
              <w:left w:val="single" w:sz="2" w:space="0" w:color="A7B4BE"/>
              <w:bottom w:val="single" w:sz="4" w:space="0" w:color="A7B4BE"/>
              <w:right w:val="single" w:sz="2" w:space="0" w:color="A7B4BE"/>
            </w:tcBorders>
            <w:shd w:val="clear" w:color="auto" w:fill="FFCC99"/>
          </w:tcPr>
          <w:p w14:paraId="56A3C4DB" w14:textId="36EA4F0C" w:rsidR="000646E5" w:rsidRPr="00E86491" w:rsidRDefault="00596B24" w:rsidP="00685607">
            <w:pPr>
              <w:pStyle w:val="Tablecolumnheading"/>
              <w:ind w:left="0"/>
              <w:jc w:val="center"/>
            </w:pPr>
            <w:r>
              <w:t>2015</w:t>
            </w:r>
            <w:r w:rsidR="000646E5" w:rsidRPr="00E86491">
              <w:t>-1</w:t>
            </w:r>
            <w:r>
              <w:t>6</w:t>
            </w:r>
          </w:p>
        </w:tc>
        <w:tc>
          <w:tcPr>
            <w:tcW w:w="1418" w:type="dxa"/>
            <w:tcBorders>
              <w:top w:val="single" w:sz="4" w:space="0" w:color="A7B4BE"/>
              <w:left w:val="single" w:sz="2" w:space="0" w:color="A7B4BE"/>
              <w:bottom w:val="single" w:sz="4" w:space="0" w:color="A7B4BE"/>
              <w:right w:val="single" w:sz="2" w:space="0" w:color="A7B4BE"/>
            </w:tcBorders>
            <w:shd w:val="clear" w:color="auto" w:fill="FFCC99"/>
          </w:tcPr>
          <w:p w14:paraId="56A3C4DC" w14:textId="44085D52" w:rsidR="000646E5" w:rsidRPr="00E86491" w:rsidRDefault="000646E5" w:rsidP="00685607">
            <w:pPr>
              <w:pStyle w:val="Tablecolumnheading"/>
              <w:ind w:left="0"/>
              <w:jc w:val="center"/>
            </w:pPr>
            <w:r w:rsidRPr="00E86491">
              <w:t>201</w:t>
            </w:r>
            <w:r w:rsidR="00596B24">
              <w:t>6</w:t>
            </w:r>
            <w:r w:rsidRPr="00E86491">
              <w:t>-1</w:t>
            </w:r>
            <w:r w:rsidR="00596B24">
              <w:t>7</w:t>
            </w:r>
          </w:p>
        </w:tc>
        <w:tc>
          <w:tcPr>
            <w:tcW w:w="1276" w:type="dxa"/>
            <w:tcBorders>
              <w:top w:val="single" w:sz="4" w:space="0" w:color="A7B4BE"/>
              <w:left w:val="nil"/>
              <w:bottom w:val="single" w:sz="4" w:space="0" w:color="A7B4BE"/>
              <w:right w:val="single" w:sz="4" w:space="0" w:color="A7B4BE"/>
            </w:tcBorders>
            <w:shd w:val="clear" w:color="auto" w:fill="FFCC99"/>
          </w:tcPr>
          <w:p w14:paraId="56A3C4DD" w14:textId="16FBAA16" w:rsidR="000646E5" w:rsidRPr="00E86491" w:rsidRDefault="000646E5" w:rsidP="00685607">
            <w:pPr>
              <w:pStyle w:val="Tablecolumnheading"/>
              <w:ind w:left="0"/>
              <w:jc w:val="center"/>
            </w:pPr>
            <w:r>
              <w:t>201</w:t>
            </w:r>
            <w:r w:rsidR="00596B24">
              <w:t>7</w:t>
            </w:r>
            <w:r>
              <w:t>-1</w:t>
            </w:r>
            <w:r w:rsidR="00596B24">
              <w:t>8</w:t>
            </w:r>
          </w:p>
        </w:tc>
        <w:tc>
          <w:tcPr>
            <w:tcW w:w="1559" w:type="dxa"/>
            <w:tcBorders>
              <w:top w:val="single" w:sz="4" w:space="0" w:color="A7B4BE"/>
              <w:left w:val="single" w:sz="4" w:space="0" w:color="A7B4BE"/>
              <w:bottom w:val="single" w:sz="4" w:space="0" w:color="A7B4BE"/>
              <w:right w:val="nil"/>
            </w:tcBorders>
            <w:shd w:val="clear" w:color="auto" w:fill="FFCC99"/>
          </w:tcPr>
          <w:p w14:paraId="56A3C4DE" w14:textId="2AB2AF6C" w:rsidR="000646E5" w:rsidRPr="00E86491" w:rsidRDefault="000646E5" w:rsidP="00596B24">
            <w:pPr>
              <w:pStyle w:val="Tablecolumnheading"/>
              <w:ind w:left="0"/>
              <w:jc w:val="center"/>
            </w:pPr>
            <w:r w:rsidRPr="00E86491">
              <w:t>201</w:t>
            </w:r>
            <w:r w:rsidR="00596B24">
              <w:t>8</w:t>
            </w:r>
            <w:r w:rsidRPr="00E86491">
              <w:t>-1</w:t>
            </w:r>
            <w:r w:rsidR="00596B24">
              <w:t>9</w:t>
            </w:r>
            <w:r>
              <w:rPr>
                <w:vertAlign w:val="superscript"/>
              </w:rPr>
              <w:t>a</w:t>
            </w:r>
          </w:p>
        </w:tc>
      </w:tr>
      <w:tr w:rsidR="000646E5" w:rsidRPr="0064756D" w14:paraId="56A3C4E5" w14:textId="77777777" w:rsidTr="000646E5">
        <w:tc>
          <w:tcPr>
            <w:tcW w:w="2399" w:type="dxa"/>
            <w:tcBorders>
              <w:top w:val="single" w:sz="4" w:space="0" w:color="A7B4BE"/>
              <w:left w:val="nil"/>
              <w:bottom w:val="single" w:sz="2" w:space="0" w:color="A7B4BE"/>
              <w:right w:val="single" w:sz="2" w:space="0" w:color="A7B4BE"/>
            </w:tcBorders>
            <w:hideMark/>
          </w:tcPr>
          <w:p w14:paraId="56A3C4E0" w14:textId="52BA997C" w:rsidR="000646E5" w:rsidRPr="00E86491" w:rsidRDefault="000646E5" w:rsidP="00754FDB">
            <w:pPr>
              <w:pStyle w:val="Tablebodytext"/>
              <w:rPr>
                <w:b/>
              </w:rPr>
            </w:pPr>
            <w:r>
              <w:rPr>
                <w:b/>
              </w:rPr>
              <w:t xml:space="preserve">Consultation RISs </w:t>
            </w:r>
            <w:proofErr w:type="spellStart"/>
            <w:r>
              <w:rPr>
                <w:b/>
              </w:rPr>
              <w:t>prepared</w:t>
            </w:r>
            <w:r w:rsidR="00A9657D">
              <w:rPr>
                <w:b/>
                <w:vertAlign w:val="superscript"/>
              </w:rPr>
              <w:t>a</w:t>
            </w:r>
            <w:proofErr w:type="spellEnd"/>
          </w:p>
        </w:tc>
        <w:tc>
          <w:tcPr>
            <w:tcW w:w="1417" w:type="dxa"/>
            <w:tcBorders>
              <w:top w:val="single" w:sz="4" w:space="0" w:color="A7B4BE"/>
              <w:left w:val="single" w:sz="2" w:space="0" w:color="A7B4BE"/>
              <w:bottom w:val="single" w:sz="2" w:space="0" w:color="A7B4BE"/>
              <w:right w:val="single" w:sz="2" w:space="0" w:color="A7B4BE"/>
            </w:tcBorders>
            <w:hideMark/>
          </w:tcPr>
          <w:p w14:paraId="56A3C4E1" w14:textId="4B8AD86A" w:rsidR="000646E5" w:rsidRPr="00E86491" w:rsidRDefault="00596B24" w:rsidP="00754FDB">
            <w:pPr>
              <w:pStyle w:val="Tablebodytext"/>
              <w:spacing w:before="120"/>
              <w:jc w:val="center"/>
            </w:pPr>
            <w:r>
              <w:t>9</w:t>
            </w:r>
          </w:p>
        </w:tc>
        <w:tc>
          <w:tcPr>
            <w:tcW w:w="1418" w:type="dxa"/>
            <w:tcBorders>
              <w:top w:val="single" w:sz="4" w:space="0" w:color="A7B4BE"/>
              <w:left w:val="single" w:sz="2" w:space="0" w:color="A7B4BE"/>
              <w:bottom w:val="single" w:sz="2" w:space="0" w:color="A7B4BE"/>
              <w:right w:val="single" w:sz="2" w:space="0" w:color="A7B4BE"/>
            </w:tcBorders>
            <w:hideMark/>
          </w:tcPr>
          <w:p w14:paraId="56A3C4E2" w14:textId="0D90D8FE" w:rsidR="000646E5" w:rsidRPr="00E86491" w:rsidRDefault="00596B24" w:rsidP="00754FDB">
            <w:pPr>
              <w:pStyle w:val="Tablebodytext"/>
              <w:spacing w:before="120"/>
              <w:jc w:val="center"/>
            </w:pPr>
            <w:r>
              <w:t>8</w:t>
            </w:r>
          </w:p>
        </w:tc>
        <w:tc>
          <w:tcPr>
            <w:tcW w:w="1276" w:type="dxa"/>
            <w:tcBorders>
              <w:top w:val="single" w:sz="4" w:space="0" w:color="A7B4BE"/>
              <w:left w:val="nil"/>
              <w:bottom w:val="single" w:sz="2" w:space="0" w:color="A7B4BE"/>
              <w:right w:val="single" w:sz="4" w:space="0" w:color="A7B4BE"/>
            </w:tcBorders>
            <w:hideMark/>
          </w:tcPr>
          <w:p w14:paraId="56A3C4E3" w14:textId="323F881A" w:rsidR="000646E5" w:rsidRPr="00E86491" w:rsidRDefault="008611A2" w:rsidP="00754FDB">
            <w:pPr>
              <w:pStyle w:val="Tablebodytext"/>
              <w:spacing w:before="120"/>
              <w:jc w:val="center"/>
            </w:pPr>
            <w:r>
              <w:t>14</w:t>
            </w:r>
          </w:p>
        </w:tc>
        <w:tc>
          <w:tcPr>
            <w:tcW w:w="1559" w:type="dxa"/>
            <w:tcBorders>
              <w:top w:val="single" w:sz="4" w:space="0" w:color="A7B4BE"/>
              <w:left w:val="single" w:sz="4" w:space="0" w:color="A7B4BE"/>
              <w:bottom w:val="single" w:sz="4" w:space="0" w:color="A7B4BE"/>
              <w:right w:val="single" w:sz="4" w:space="0" w:color="A7B4BE"/>
            </w:tcBorders>
          </w:tcPr>
          <w:p w14:paraId="56A3C4E4" w14:textId="7FC16BF9" w:rsidR="000646E5" w:rsidRPr="004C20DB" w:rsidRDefault="00920A25" w:rsidP="00754FDB">
            <w:pPr>
              <w:pStyle w:val="Tablebodytext"/>
              <w:spacing w:before="120"/>
              <w:jc w:val="center"/>
            </w:pPr>
            <w:r>
              <w:t>5</w:t>
            </w:r>
          </w:p>
        </w:tc>
      </w:tr>
    </w:tbl>
    <w:p w14:paraId="56A3C4E7" w14:textId="26DA4887" w:rsidR="0077323B" w:rsidRPr="000646E5" w:rsidRDefault="00A9657D" w:rsidP="000646E5">
      <w:pPr>
        <w:spacing w:after="0"/>
        <w:rPr>
          <w:rFonts w:cs="Arial"/>
          <w:i/>
          <w:sz w:val="12"/>
          <w:szCs w:val="12"/>
        </w:rPr>
      </w:pPr>
      <w:proofErr w:type="spellStart"/>
      <w:proofErr w:type="gramStart"/>
      <w:r>
        <w:rPr>
          <w:rFonts w:cs="Arial"/>
          <w:i/>
          <w:sz w:val="12"/>
          <w:szCs w:val="12"/>
        </w:rPr>
        <w:t>a</w:t>
      </w:r>
      <w:proofErr w:type="spellEnd"/>
      <w:proofErr w:type="gramEnd"/>
      <w:r w:rsidR="0077323B" w:rsidRPr="000646E5">
        <w:rPr>
          <w:rFonts w:cs="Arial"/>
          <w:i/>
          <w:sz w:val="12"/>
          <w:szCs w:val="12"/>
        </w:rPr>
        <w:t xml:space="preserve"> These numbers represent all Consultation RISs that were prepared and published in the relevant financial year. </w:t>
      </w:r>
    </w:p>
    <w:p w14:paraId="56A3C4E8" w14:textId="77777777" w:rsidR="00937EAD" w:rsidRDefault="00220271" w:rsidP="00B56367">
      <w:pPr>
        <w:pStyle w:val="Heading2"/>
        <w:ind w:left="0" w:firstLine="0"/>
      </w:pPr>
      <w:r>
        <w:br w:type="page"/>
      </w:r>
      <w:bookmarkStart w:id="269" w:name="_Toc384306618"/>
      <w:bookmarkStart w:id="270" w:name="_Toc379802376"/>
      <w:bookmarkStart w:id="271" w:name="_Toc379801138"/>
      <w:bookmarkStart w:id="272" w:name="_Toc383790361"/>
      <w:bookmarkStart w:id="273" w:name="_Toc384366788"/>
      <w:bookmarkStart w:id="274" w:name="_Toc387412050"/>
      <w:bookmarkStart w:id="275" w:name="_Toc391977611"/>
      <w:bookmarkStart w:id="276" w:name="_Toc391985275"/>
      <w:bookmarkStart w:id="277" w:name="_Toc391985779"/>
      <w:bookmarkStart w:id="278" w:name="_Toc391985817"/>
      <w:bookmarkStart w:id="279" w:name="_Toc392582656"/>
      <w:bookmarkStart w:id="280" w:name="_Toc392583995"/>
      <w:bookmarkStart w:id="281" w:name="_Toc392751706"/>
      <w:bookmarkStart w:id="282" w:name="_Toc392852658"/>
      <w:bookmarkStart w:id="283" w:name="_Toc396743526"/>
      <w:bookmarkStart w:id="284" w:name="_Toc400100729"/>
      <w:bookmarkStart w:id="285" w:name="_Toc400101008"/>
      <w:bookmarkStart w:id="286" w:name="_Toc400104320"/>
      <w:bookmarkStart w:id="287" w:name="_Toc428440026"/>
      <w:bookmarkStart w:id="288" w:name="_Toc428440453"/>
      <w:bookmarkStart w:id="289" w:name="_Toc432175593"/>
    </w:p>
    <w:p w14:paraId="303187F9" w14:textId="77777777" w:rsidR="002F2F55" w:rsidRDefault="00220271" w:rsidP="003165FB">
      <w:pPr>
        <w:pStyle w:val="Heading2"/>
        <w:ind w:left="0" w:right="423" w:firstLine="0"/>
        <w:rPr>
          <w:noProof/>
        </w:rPr>
      </w:pPr>
      <w:bookmarkStart w:id="290" w:name="_Toc432587373"/>
      <w:bookmarkStart w:id="291" w:name="_Toc438539624"/>
      <w:bookmarkStart w:id="292" w:name="_Toc440639807"/>
      <w:bookmarkStart w:id="293" w:name="_Toc445973435"/>
      <w:bookmarkStart w:id="294" w:name="_Toc445974133"/>
      <w:bookmarkStart w:id="295" w:name="_Toc445974394"/>
      <w:bookmarkStart w:id="296" w:name="_Toc446318427"/>
      <w:bookmarkStart w:id="297" w:name="_Toc447532685"/>
      <w:bookmarkStart w:id="298" w:name="_Toc451168633"/>
      <w:bookmarkStart w:id="299" w:name="_Toc451264227"/>
      <w:bookmarkStart w:id="300" w:name="_Toc451264794"/>
      <w:bookmarkStart w:id="301" w:name="_Toc459800319"/>
      <w:bookmarkStart w:id="302" w:name="_Toc473715461"/>
      <w:bookmarkStart w:id="303" w:name="_Toc473900454"/>
      <w:bookmarkStart w:id="304" w:name="_Toc473900489"/>
      <w:bookmarkStart w:id="305" w:name="_Toc5280200"/>
      <w:bookmarkStart w:id="306" w:name="_Toc5611197"/>
      <w:bookmarkStart w:id="307" w:name="_Toc19865983"/>
      <w:bookmarkStart w:id="308" w:name="_Toc19866667"/>
      <w:bookmarkStart w:id="309" w:name="_Toc20150940"/>
      <w:bookmarkStart w:id="310" w:name="_Toc20151106"/>
      <w:bookmarkStart w:id="311" w:name="_Toc20235067"/>
      <w:bookmarkStart w:id="312" w:name="_Toc20302447"/>
      <w:bookmarkStart w:id="313" w:name="_Toc20384867"/>
      <w:r w:rsidRPr="00010B24">
        <w:lastRenderedPageBreak/>
        <w:t>Contents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fldChar w:fldCharType="begin"/>
      </w:r>
      <w:r>
        <w:instrText xml:space="preserve"> TOC \o "1-3" \h \z \u </w:instrText>
      </w:r>
      <w:r>
        <w:fldChar w:fldCharType="separate"/>
      </w:r>
    </w:p>
    <w:p w14:paraId="39E1C3AB" w14:textId="33B7A992" w:rsidR="002F2F55" w:rsidRDefault="00EE6E88">
      <w:pPr>
        <w:pStyle w:val="TOC2"/>
        <w:tabs>
          <w:tab w:val="right" w:leader="dot" w:pos="9769"/>
        </w:tabs>
        <w:rPr>
          <w:rFonts w:asciiTheme="minorHAnsi" w:eastAsiaTheme="minorEastAsia" w:hAnsiTheme="minorHAnsi" w:cstheme="minorBidi"/>
          <w:noProof/>
          <w:szCs w:val="22"/>
          <w:lang w:eastAsia="en-AU"/>
        </w:rPr>
      </w:pPr>
      <w:hyperlink w:anchor="_Toc20384868" w:history="1">
        <w:r w:rsidR="002F2F55" w:rsidRPr="003A5D6B">
          <w:rPr>
            <w:rStyle w:val="Hyperlink"/>
            <w:noProof/>
          </w:rPr>
          <w:t>Detailed information</w:t>
        </w:r>
        <w:r w:rsidR="002F2F55">
          <w:rPr>
            <w:noProof/>
            <w:webHidden/>
          </w:rPr>
          <w:tab/>
        </w:r>
        <w:r w:rsidR="002F2F55">
          <w:rPr>
            <w:noProof/>
            <w:webHidden/>
          </w:rPr>
          <w:fldChar w:fldCharType="begin"/>
        </w:r>
        <w:r w:rsidR="002F2F55">
          <w:rPr>
            <w:noProof/>
            <w:webHidden/>
          </w:rPr>
          <w:instrText xml:space="preserve"> PAGEREF _Toc20384868 \h </w:instrText>
        </w:r>
        <w:r w:rsidR="002F2F55">
          <w:rPr>
            <w:noProof/>
            <w:webHidden/>
          </w:rPr>
        </w:r>
        <w:r w:rsidR="002F2F55">
          <w:rPr>
            <w:noProof/>
            <w:webHidden/>
          </w:rPr>
          <w:fldChar w:fldCharType="separate"/>
        </w:r>
        <w:r w:rsidR="002F2F55">
          <w:rPr>
            <w:noProof/>
            <w:webHidden/>
          </w:rPr>
          <w:t>3</w:t>
        </w:r>
        <w:r w:rsidR="002F2F55">
          <w:rPr>
            <w:noProof/>
            <w:webHidden/>
          </w:rPr>
          <w:fldChar w:fldCharType="end"/>
        </w:r>
      </w:hyperlink>
    </w:p>
    <w:p w14:paraId="251C523C" w14:textId="7FB5AE49" w:rsidR="002F2F55" w:rsidRDefault="00EE6E88">
      <w:pPr>
        <w:pStyle w:val="TOC3"/>
        <w:rPr>
          <w:rFonts w:asciiTheme="minorHAnsi" w:eastAsiaTheme="minorEastAsia" w:hAnsiTheme="minorHAnsi" w:cstheme="minorBidi"/>
          <w:bCs w:val="0"/>
          <w:spacing w:val="0"/>
          <w:szCs w:val="22"/>
          <w:lang w:eastAsia="en-AU"/>
        </w:rPr>
      </w:pPr>
      <w:hyperlink w:anchor="_Toc20384869" w:history="1">
        <w:r w:rsidR="002F2F55" w:rsidRPr="003A5D6B">
          <w:rPr>
            <w:rStyle w:val="Hyperlink"/>
          </w:rPr>
          <w:t>Australia and New Zealand Ministerial Forum on Food Regulation</w:t>
        </w:r>
        <w:r w:rsidR="002F2F55">
          <w:rPr>
            <w:webHidden/>
          </w:rPr>
          <w:tab/>
        </w:r>
        <w:r w:rsidR="002F2F55">
          <w:rPr>
            <w:webHidden/>
          </w:rPr>
          <w:fldChar w:fldCharType="begin"/>
        </w:r>
        <w:r w:rsidR="002F2F55">
          <w:rPr>
            <w:webHidden/>
          </w:rPr>
          <w:instrText xml:space="preserve"> PAGEREF _Toc20384869 \h </w:instrText>
        </w:r>
        <w:r w:rsidR="002F2F55">
          <w:rPr>
            <w:webHidden/>
          </w:rPr>
        </w:r>
        <w:r w:rsidR="002F2F55">
          <w:rPr>
            <w:webHidden/>
          </w:rPr>
          <w:fldChar w:fldCharType="separate"/>
        </w:r>
        <w:r w:rsidR="002F2F55">
          <w:rPr>
            <w:webHidden/>
          </w:rPr>
          <w:t>3</w:t>
        </w:r>
        <w:r w:rsidR="002F2F55">
          <w:rPr>
            <w:webHidden/>
          </w:rPr>
          <w:fldChar w:fldCharType="end"/>
        </w:r>
      </w:hyperlink>
    </w:p>
    <w:p w14:paraId="4A8B9CD7" w14:textId="0319F53D" w:rsidR="002F2F55" w:rsidRDefault="00EE6E88">
      <w:pPr>
        <w:pStyle w:val="TOC3"/>
        <w:rPr>
          <w:rFonts w:asciiTheme="minorHAnsi" w:eastAsiaTheme="minorEastAsia" w:hAnsiTheme="minorHAnsi" w:cstheme="minorBidi"/>
          <w:bCs w:val="0"/>
          <w:spacing w:val="0"/>
          <w:szCs w:val="22"/>
          <w:lang w:eastAsia="en-AU"/>
        </w:rPr>
      </w:pPr>
      <w:hyperlink w:anchor="_Toc20384870" w:history="1">
        <w:r w:rsidR="002F2F55" w:rsidRPr="003A5D6B">
          <w:rPr>
            <w:rStyle w:val="Hyperlink"/>
          </w:rPr>
          <w:t>Australian Building Codes Board</w:t>
        </w:r>
        <w:r w:rsidR="002F2F55">
          <w:rPr>
            <w:webHidden/>
          </w:rPr>
          <w:tab/>
        </w:r>
        <w:r w:rsidR="002F2F55">
          <w:rPr>
            <w:webHidden/>
          </w:rPr>
          <w:fldChar w:fldCharType="begin"/>
        </w:r>
        <w:r w:rsidR="002F2F55">
          <w:rPr>
            <w:webHidden/>
          </w:rPr>
          <w:instrText xml:space="preserve"> PAGEREF _Toc20384870 \h </w:instrText>
        </w:r>
        <w:r w:rsidR="002F2F55">
          <w:rPr>
            <w:webHidden/>
          </w:rPr>
        </w:r>
        <w:r w:rsidR="002F2F55">
          <w:rPr>
            <w:webHidden/>
          </w:rPr>
          <w:fldChar w:fldCharType="separate"/>
        </w:r>
        <w:r w:rsidR="002F2F55">
          <w:rPr>
            <w:webHidden/>
          </w:rPr>
          <w:t>3</w:t>
        </w:r>
        <w:r w:rsidR="002F2F55">
          <w:rPr>
            <w:webHidden/>
          </w:rPr>
          <w:fldChar w:fldCharType="end"/>
        </w:r>
      </w:hyperlink>
    </w:p>
    <w:p w14:paraId="690CC429" w14:textId="6C2297D2" w:rsidR="002F2F55" w:rsidRDefault="00EE6E88">
      <w:pPr>
        <w:pStyle w:val="TOC3"/>
        <w:rPr>
          <w:rFonts w:asciiTheme="minorHAnsi" w:eastAsiaTheme="minorEastAsia" w:hAnsiTheme="minorHAnsi" w:cstheme="minorBidi"/>
          <w:bCs w:val="0"/>
          <w:spacing w:val="0"/>
          <w:szCs w:val="22"/>
          <w:lang w:eastAsia="en-AU"/>
        </w:rPr>
      </w:pPr>
      <w:hyperlink w:anchor="_Toc20384871" w:history="1">
        <w:r w:rsidR="002F2F55" w:rsidRPr="003A5D6B">
          <w:rPr>
            <w:rStyle w:val="Hyperlink"/>
          </w:rPr>
          <w:t>COAG Energy Council</w:t>
        </w:r>
        <w:r w:rsidR="002F2F55">
          <w:rPr>
            <w:webHidden/>
          </w:rPr>
          <w:tab/>
        </w:r>
        <w:r w:rsidR="002F2F55">
          <w:rPr>
            <w:webHidden/>
          </w:rPr>
          <w:fldChar w:fldCharType="begin"/>
        </w:r>
        <w:r w:rsidR="002F2F55">
          <w:rPr>
            <w:webHidden/>
          </w:rPr>
          <w:instrText xml:space="preserve"> PAGEREF _Toc20384871 \h </w:instrText>
        </w:r>
        <w:r w:rsidR="002F2F55">
          <w:rPr>
            <w:webHidden/>
          </w:rPr>
        </w:r>
        <w:r w:rsidR="002F2F55">
          <w:rPr>
            <w:webHidden/>
          </w:rPr>
          <w:fldChar w:fldCharType="separate"/>
        </w:r>
        <w:r w:rsidR="002F2F55">
          <w:rPr>
            <w:webHidden/>
          </w:rPr>
          <w:t>4</w:t>
        </w:r>
        <w:r w:rsidR="002F2F55">
          <w:rPr>
            <w:webHidden/>
          </w:rPr>
          <w:fldChar w:fldCharType="end"/>
        </w:r>
      </w:hyperlink>
    </w:p>
    <w:p w14:paraId="29CE53DB" w14:textId="15F18DA8" w:rsidR="002F2F55" w:rsidRDefault="00EE6E88">
      <w:pPr>
        <w:pStyle w:val="TOC3"/>
        <w:rPr>
          <w:rFonts w:asciiTheme="minorHAnsi" w:eastAsiaTheme="minorEastAsia" w:hAnsiTheme="minorHAnsi" w:cstheme="minorBidi"/>
          <w:bCs w:val="0"/>
          <w:spacing w:val="0"/>
          <w:szCs w:val="22"/>
          <w:lang w:eastAsia="en-AU"/>
        </w:rPr>
      </w:pPr>
      <w:hyperlink w:anchor="_Toc20384872" w:history="1">
        <w:r w:rsidR="002F2F55" w:rsidRPr="003A5D6B">
          <w:rPr>
            <w:rStyle w:val="Hyperlink"/>
          </w:rPr>
          <w:t>Department of Social Services</w:t>
        </w:r>
        <w:r w:rsidR="002F2F55">
          <w:rPr>
            <w:webHidden/>
          </w:rPr>
          <w:tab/>
        </w:r>
        <w:r w:rsidR="002F2F55">
          <w:rPr>
            <w:webHidden/>
          </w:rPr>
          <w:fldChar w:fldCharType="begin"/>
        </w:r>
        <w:r w:rsidR="002F2F55">
          <w:rPr>
            <w:webHidden/>
          </w:rPr>
          <w:instrText xml:space="preserve"> PAGEREF _Toc20384872 \h </w:instrText>
        </w:r>
        <w:r w:rsidR="002F2F55">
          <w:rPr>
            <w:webHidden/>
          </w:rPr>
        </w:r>
        <w:r w:rsidR="002F2F55">
          <w:rPr>
            <w:webHidden/>
          </w:rPr>
          <w:fldChar w:fldCharType="separate"/>
        </w:r>
        <w:r w:rsidR="002F2F55">
          <w:rPr>
            <w:webHidden/>
          </w:rPr>
          <w:t>4</w:t>
        </w:r>
        <w:r w:rsidR="002F2F55">
          <w:rPr>
            <w:webHidden/>
          </w:rPr>
          <w:fldChar w:fldCharType="end"/>
        </w:r>
      </w:hyperlink>
    </w:p>
    <w:p w14:paraId="6B73AECE" w14:textId="523C405D" w:rsidR="002F2F55" w:rsidRDefault="00EE6E88">
      <w:pPr>
        <w:pStyle w:val="TOC3"/>
        <w:rPr>
          <w:rFonts w:asciiTheme="minorHAnsi" w:eastAsiaTheme="minorEastAsia" w:hAnsiTheme="minorHAnsi" w:cstheme="minorBidi"/>
          <w:bCs w:val="0"/>
          <w:spacing w:val="0"/>
          <w:szCs w:val="22"/>
          <w:lang w:eastAsia="en-AU"/>
        </w:rPr>
      </w:pPr>
      <w:hyperlink w:anchor="_Toc20384873" w:history="1">
        <w:r w:rsidR="002F2F55" w:rsidRPr="003A5D6B">
          <w:rPr>
            <w:rStyle w:val="Hyperlink"/>
          </w:rPr>
          <w:t>Legislative and Governance Forum on Gene Technology</w:t>
        </w:r>
        <w:r w:rsidR="002F2F55">
          <w:rPr>
            <w:webHidden/>
          </w:rPr>
          <w:tab/>
        </w:r>
        <w:r w:rsidR="002F2F55">
          <w:rPr>
            <w:webHidden/>
          </w:rPr>
          <w:fldChar w:fldCharType="begin"/>
        </w:r>
        <w:r w:rsidR="002F2F55">
          <w:rPr>
            <w:webHidden/>
          </w:rPr>
          <w:instrText xml:space="preserve"> PAGEREF _Toc20384873 \h </w:instrText>
        </w:r>
        <w:r w:rsidR="002F2F55">
          <w:rPr>
            <w:webHidden/>
          </w:rPr>
        </w:r>
        <w:r w:rsidR="002F2F55">
          <w:rPr>
            <w:webHidden/>
          </w:rPr>
          <w:fldChar w:fldCharType="separate"/>
        </w:r>
        <w:r w:rsidR="002F2F55">
          <w:rPr>
            <w:webHidden/>
          </w:rPr>
          <w:t>4</w:t>
        </w:r>
        <w:r w:rsidR="002F2F55">
          <w:rPr>
            <w:webHidden/>
          </w:rPr>
          <w:fldChar w:fldCharType="end"/>
        </w:r>
      </w:hyperlink>
    </w:p>
    <w:p w14:paraId="50060228" w14:textId="5D94B095" w:rsidR="002F2F55" w:rsidRDefault="00EE6E88">
      <w:pPr>
        <w:pStyle w:val="TOC3"/>
        <w:rPr>
          <w:rFonts w:asciiTheme="minorHAnsi" w:eastAsiaTheme="minorEastAsia" w:hAnsiTheme="minorHAnsi" w:cstheme="minorBidi"/>
          <w:bCs w:val="0"/>
          <w:spacing w:val="0"/>
          <w:szCs w:val="22"/>
          <w:lang w:eastAsia="en-AU"/>
        </w:rPr>
      </w:pPr>
      <w:hyperlink w:anchor="_Toc20384874" w:history="1">
        <w:r w:rsidR="002F2F55" w:rsidRPr="003A5D6B">
          <w:rPr>
            <w:rStyle w:val="Hyperlink"/>
          </w:rPr>
          <w:t xml:space="preserve">Legislative </w:t>
        </w:r>
        <w:r w:rsidR="003A33CE">
          <w:rPr>
            <w:rStyle w:val="Hyperlink"/>
          </w:rPr>
          <w:t xml:space="preserve">and </w:t>
        </w:r>
        <w:r w:rsidR="002F2F55" w:rsidRPr="003A5D6B">
          <w:rPr>
            <w:rStyle w:val="Hyperlink"/>
          </w:rPr>
          <w:t>Governance Forum on Consumer Affairs</w:t>
        </w:r>
        <w:r w:rsidR="002F2F55">
          <w:rPr>
            <w:webHidden/>
          </w:rPr>
          <w:tab/>
        </w:r>
        <w:r w:rsidR="002F2F55">
          <w:rPr>
            <w:webHidden/>
          </w:rPr>
          <w:fldChar w:fldCharType="begin"/>
        </w:r>
        <w:r w:rsidR="002F2F55">
          <w:rPr>
            <w:webHidden/>
          </w:rPr>
          <w:instrText xml:space="preserve"> PAGEREF _Toc20384874 \h </w:instrText>
        </w:r>
        <w:r w:rsidR="002F2F55">
          <w:rPr>
            <w:webHidden/>
          </w:rPr>
        </w:r>
        <w:r w:rsidR="002F2F55">
          <w:rPr>
            <w:webHidden/>
          </w:rPr>
          <w:fldChar w:fldCharType="separate"/>
        </w:r>
        <w:r w:rsidR="002F2F55">
          <w:rPr>
            <w:webHidden/>
          </w:rPr>
          <w:t>5</w:t>
        </w:r>
        <w:r w:rsidR="002F2F55">
          <w:rPr>
            <w:webHidden/>
          </w:rPr>
          <w:fldChar w:fldCharType="end"/>
        </w:r>
      </w:hyperlink>
    </w:p>
    <w:p w14:paraId="118D92F9" w14:textId="77279C21" w:rsidR="002F2F55" w:rsidRDefault="00EE6E88">
      <w:pPr>
        <w:pStyle w:val="TOC3"/>
        <w:rPr>
          <w:rFonts w:asciiTheme="minorHAnsi" w:eastAsiaTheme="minorEastAsia" w:hAnsiTheme="minorHAnsi" w:cstheme="minorBidi"/>
          <w:bCs w:val="0"/>
          <w:spacing w:val="0"/>
          <w:szCs w:val="22"/>
          <w:lang w:eastAsia="en-AU"/>
        </w:rPr>
      </w:pPr>
      <w:hyperlink w:anchor="_Toc20384875" w:history="1">
        <w:r w:rsidR="002F2F55" w:rsidRPr="003A5D6B">
          <w:rPr>
            <w:rStyle w:val="Hyperlink"/>
          </w:rPr>
          <w:t>Transport and Infrastructure Council</w:t>
        </w:r>
        <w:r w:rsidR="002F2F55">
          <w:rPr>
            <w:webHidden/>
          </w:rPr>
          <w:tab/>
        </w:r>
        <w:r w:rsidR="002F2F55">
          <w:rPr>
            <w:webHidden/>
          </w:rPr>
          <w:fldChar w:fldCharType="begin"/>
        </w:r>
        <w:r w:rsidR="002F2F55">
          <w:rPr>
            <w:webHidden/>
          </w:rPr>
          <w:instrText xml:space="preserve"> PAGEREF _Toc20384875 \h </w:instrText>
        </w:r>
        <w:r w:rsidR="002F2F55">
          <w:rPr>
            <w:webHidden/>
          </w:rPr>
        </w:r>
        <w:r w:rsidR="002F2F55">
          <w:rPr>
            <w:webHidden/>
          </w:rPr>
          <w:fldChar w:fldCharType="separate"/>
        </w:r>
        <w:r w:rsidR="002F2F55">
          <w:rPr>
            <w:webHidden/>
          </w:rPr>
          <w:t>5</w:t>
        </w:r>
        <w:r w:rsidR="002F2F55">
          <w:rPr>
            <w:webHidden/>
          </w:rPr>
          <w:fldChar w:fldCharType="end"/>
        </w:r>
      </w:hyperlink>
    </w:p>
    <w:p w14:paraId="7F4C1725" w14:textId="39BD1D71" w:rsidR="002F2F55" w:rsidRDefault="00EE6E88">
      <w:pPr>
        <w:pStyle w:val="TOC2"/>
        <w:tabs>
          <w:tab w:val="right" w:leader="dot" w:pos="9769"/>
        </w:tabs>
        <w:rPr>
          <w:rFonts w:asciiTheme="minorHAnsi" w:eastAsiaTheme="minorEastAsia" w:hAnsiTheme="minorHAnsi" w:cstheme="minorBidi"/>
          <w:noProof/>
          <w:szCs w:val="22"/>
          <w:lang w:eastAsia="en-AU"/>
        </w:rPr>
      </w:pPr>
      <w:hyperlink w:anchor="_Toc20384876" w:history="1">
        <w:r w:rsidR="002F2F55" w:rsidRPr="003A5D6B">
          <w:rPr>
            <w:rStyle w:val="Hyperlink"/>
            <w:noProof/>
          </w:rPr>
          <w:t>Appendix A - RISs prepared for consultation in 2018-19</w:t>
        </w:r>
        <w:r w:rsidR="002F2F55">
          <w:rPr>
            <w:noProof/>
            <w:webHidden/>
          </w:rPr>
          <w:tab/>
        </w:r>
        <w:r w:rsidR="002F2F55">
          <w:rPr>
            <w:noProof/>
            <w:webHidden/>
          </w:rPr>
          <w:fldChar w:fldCharType="begin"/>
        </w:r>
        <w:r w:rsidR="002F2F55">
          <w:rPr>
            <w:noProof/>
            <w:webHidden/>
          </w:rPr>
          <w:instrText xml:space="preserve"> PAGEREF _Toc20384876 \h </w:instrText>
        </w:r>
        <w:r w:rsidR="002F2F55">
          <w:rPr>
            <w:noProof/>
            <w:webHidden/>
          </w:rPr>
        </w:r>
        <w:r w:rsidR="002F2F55">
          <w:rPr>
            <w:noProof/>
            <w:webHidden/>
          </w:rPr>
          <w:fldChar w:fldCharType="separate"/>
        </w:r>
        <w:r w:rsidR="002F2F55">
          <w:rPr>
            <w:noProof/>
            <w:webHidden/>
          </w:rPr>
          <w:t>6</w:t>
        </w:r>
        <w:r w:rsidR="002F2F55">
          <w:rPr>
            <w:noProof/>
            <w:webHidden/>
          </w:rPr>
          <w:fldChar w:fldCharType="end"/>
        </w:r>
      </w:hyperlink>
    </w:p>
    <w:p w14:paraId="56A3C4F5" w14:textId="77777777" w:rsidR="002674FC" w:rsidRDefault="00220271" w:rsidP="004A6EC6">
      <w:pPr>
        <w:ind w:right="423" w:firstLine="220"/>
        <w:rPr>
          <w:b/>
          <w:i/>
          <w:sz w:val="26"/>
          <w:szCs w:val="26"/>
        </w:rPr>
      </w:pPr>
      <w:r>
        <w:rPr>
          <w:b/>
          <w:bCs/>
          <w:noProof/>
        </w:rPr>
        <w:fldChar w:fldCharType="end"/>
      </w:r>
      <w:bookmarkStart w:id="314" w:name="_Toc432175906"/>
      <w:bookmarkStart w:id="315" w:name="_Toc432587374"/>
    </w:p>
    <w:p w14:paraId="56A3C4F6" w14:textId="713A96E6" w:rsidR="00EC4176" w:rsidRDefault="00EC4176" w:rsidP="00BC0477">
      <w:pPr>
        <w:pStyle w:val="Heading2"/>
        <w:ind w:left="0" w:firstLine="0"/>
        <w:rPr>
          <w:rFonts w:cs="Arial"/>
          <w:spacing w:val="0"/>
        </w:rPr>
      </w:pPr>
    </w:p>
    <w:p w14:paraId="40BD68EA" w14:textId="77777777" w:rsidR="00EC4176" w:rsidRPr="00EC4176" w:rsidRDefault="00EC4176" w:rsidP="00EC4176"/>
    <w:p w14:paraId="57D922A5" w14:textId="77777777" w:rsidR="00EC4176" w:rsidRPr="00EC4176" w:rsidRDefault="00EC4176" w:rsidP="00EC4176">
      <w:pPr>
        <w:jc w:val="center"/>
      </w:pPr>
    </w:p>
    <w:p w14:paraId="33388C4F" w14:textId="77777777" w:rsidR="00EC4176" w:rsidRPr="00EC4176" w:rsidRDefault="00EC4176" w:rsidP="00EC4176"/>
    <w:p w14:paraId="0737E49A" w14:textId="77777777" w:rsidR="00EC4176" w:rsidRPr="00EC4176" w:rsidRDefault="00EC4176" w:rsidP="00EC4176"/>
    <w:p w14:paraId="528B7C82" w14:textId="77777777" w:rsidR="00EC4176" w:rsidRPr="00EC4176" w:rsidRDefault="00EC4176" w:rsidP="00EC4176"/>
    <w:p w14:paraId="0FC4A321" w14:textId="77777777" w:rsidR="00EC4176" w:rsidRPr="00EC4176" w:rsidRDefault="00EC4176" w:rsidP="00EC4176"/>
    <w:p w14:paraId="38F75BF5" w14:textId="77777777" w:rsidR="00EC4176" w:rsidRPr="00EC4176" w:rsidRDefault="00EC4176" w:rsidP="00EC4176"/>
    <w:p w14:paraId="121F93BC" w14:textId="77777777" w:rsidR="00EC4176" w:rsidRPr="00EC4176" w:rsidRDefault="00EC4176" w:rsidP="00EC4176"/>
    <w:p w14:paraId="41C527B9" w14:textId="77777777" w:rsidR="00EC4176" w:rsidRPr="00EC4176" w:rsidRDefault="00EC4176" w:rsidP="00EC4176"/>
    <w:p w14:paraId="47DBB38D" w14:textId="77777777" w:rsidR="00EC4176" w:rsidRPr="00EC4176" w:rsidRDefault="00EC4176" w:rsidP="00EC4176"/>
    <w:p w14:paraId="6FBBF5E7" w14:textId="37B5F914" w:rsidR="00EC4176" w:rsidRDefault="00EC4176" w:rsidP="00BC0477">
      <w:pPr>
        <w:pStyle w:val="Heading2"/>
        <w:ind w:left="0" w:firstLine="0"/>
      </w:pPr>
    </w:p>
    <w:p w14:paraId="5B21517A" w14:textId="65E518CE" w:rsidR="00EC4176" w:rsidRDefault="00EC4176" w:rsidP="00EC4176">
      <w:pPr>
        <w:pStyle w:val="Heading2"/>
        <w:tabs>
          <w:tab w:val="left" w:pos="3651"/>
        </w:tabs>
        <w:ind w:left="0" w:firstLine="0"/>
      </w:pPr>
      <w:r>
        <w:tab/>
      </w:r>
    </w:p>
    <w:p w14:paraId="476D8A28" w14:textId="77777777" w:rsidR="00BC0477" w:rsidRDefault="007B3914" w:rsidP="00BC0477">
      <w:pPr>
        <w:pStyle w:val="Heading2"/>
        <w:ind w:left="0" w:firstLine="0"/>
      </w:pPr>
      <w:r w:rsidRPr="00EC4176">
        <w:br w:type="page"/>
      </w:r>
      <w:bookmarkStart w:id="316" w:name="_Toc459800538"/>
      <w:bookmarkStart w:id="317" w:name="_Toc20384868"/>
      <w:bookmarkEnd w:id="314"/>
      <w:bookmarkEnd w:id="315"/>
      <w:r w:rsidR="00BC0477" w:rsidRPr="00AE4984">
        <w:lastRenderedPageBreak/>
        <w:t>Detailed information</w:t>
      </w:r>
      <w:bookmarkEnd w:id="316"/>
      <w:bookmarkEnd w:id="317"/>
    </w:p>
    <w:p w14:paraId="14C09747" w14:textId="77777777" w:rsidR="009A6219" w:rsidRPr="009A6219" w:rsidRDefault="009A6219" w:rsidP="009A6219">
      <w:pPr>
        <w:pStyle w:val="Heading3"/>
        <w:spacing w:before="180"/>
      </w:pPr>
      <w:bookmarkStart w:id="318" w:name="_Toc20384869"/>
      <w:r w:rsidRPr="009A6219">
        <w:t>Australia and New Zealand Ministerial Forum on Food Regulation</w:t>
      </w:r>
      <w:bookmarkEnd w:id="318"/>
    </w:p>
    <w:tbl>
      <w:tblPr>
        <w:tblW w:w="9979" w:type="dxa"/>
        <w:tblInd w:w="-142" w:type="dxa"/>
        <w:tblLayout w:type="fixed"/>
        <w:tblCellMar>
          <w:left w:w="0" w:type="dxa"/>
          <w:right w:w="0" w:type="dxa"/>
        </w:tblCellMar>
        <w:tblLook w:val="0000" w:firstRow="0" w:lastRow="0" w:firstColumn="0" w:lastColumn="0" w:noHBand="0" w:noVBand="0"/>
        <w:tblCaption w:val="Decorative alcohol fuelled devices"/>
        <w:tblDescription w:val="Decorative alcohol fuelled devices: Compliant at consultation, Compliant at decision, Final RIS published. Decision Date: 10 July 2017."/>
      </w:tblPr>
      <w:tblGrid>
        <w:gridCol w:w="5104"/>
        <w:gridCol w:w="1417"/>
        <w:gridCol w:w="1249"/>
        <w:gridCol w:w="1104"/>
        <w:gridCol w:w="1105"/>
      </w:tblGrid>
      <w:tr w:rsidR="009A6219" w:rsidRPr="009F2777" w14:paraId="10CF0BBC" w14:textId="77777777" w:rsidTr="00B22D09">
        <w:trPr>
          <w:trHeight w:val="510"/>
          <w:tblHeader/>
        </w:trPr>
        <w:tc>
          <w:tcPr>
            <w:tcW w:w="5104" w:type="dxa"/>
            <w:shd w:val="clear" w:color="auto" w:fill="F4973F"/>
            <w:vAlign w:val="center"/>
          </w:tcPr>
          <w:p w14:paraId="1D7AA775" w14:textId="77777777" w:rsidR="009A6219" w:rsidRPr="009F2777" w:rsidRDefault="009A6219" w:rsidP="00B22D09">
            <w:pPr>
              <w:pStyle w:val="TableParagraph"/>
              <w:kinsoku w:val="0"/>
              <w:overflowPunct w:val="0"/>
              <w:spacing w:beforeLines="60" w:before="144" w:after="60"/>
              <w:ind w:left="85"/>
              <w:rPr>
                <w:sz w:val="18"/>
                <w:szCs w:val="18"/>
              </w:rPr>
            </w:pPr>
            <w:r w:rsidRPr="009F2777">
              <w:rPr>
                <w:rFonts w:ascii="Arial" w:hAnsi="Arial" w:cs="Arial"/>
                <w:color w:val="FFFFFF"/>
                <w:w w:val="105"/>
                <w:sz w:val="18"/>
                <w:szCs w:val="18"/>
              </w:rPr>
              <w:t>Proposal</w:t>
            </w:r>
          </w:p>
        </w:tc>
        <w:tc>
          <w:tcPr>
            <w:tcW w:w="1417" w:type="dxa"/>
            <w:shd w:val="clear" w:color="auto" w:fill="F4973F"/>
            <w:vAlign w:val="center"/>
          </w:tcPr>
          <w:p w14:paraId="0576EEED" w14:textId="77777777" w:rsidR="009A6219" w:rsidRPr="009F2777" w:rsidRDefault="009A6219" w:rsidP="00B22D09">
            <w:pPr>
              <w:pStyle w:val="TableParagraph"/>
              <w:kinsoku w:val="0"/>
              <w:overflowPunct w:val="0"/>
              <w:spacing w:beforeLines="60" w:before="144" w:after="60"/>
              <w:jc w:val="center"/>
              <w:rPr>
                <w:sz w:val="18"/>
                <w:szCs w:val="18"/>
              </w:rPr>
            </w:pPr>
            <w:r w:rsidRPr="009F2777">
              <w:rPr>
                <w:rFonts w:ascii="Arial" w:hAnsi="Arial" w:cs="Arial"/>
                <w:color w:val="FFFFFF"/>
                <w:w w:val="105"/>
                <w:sz w:val="18"/>
                <w:szCs w:val="18"/>
              </w:rPr>
              <w:t>Decision date</w:t>
            </w:r>
          </w:p>
        </w:tc>
        <w:tc>
          <w:tcPr>
            <w:tcW w:w="1249" w:type="dxa"/>
            <w:shd w:val="clear" w:color="auto" w:fill="F4973F"/>
            <w:vAlign w:val="center"/>
          </w:tcPr>
          <w:p w14:paraId="3EB8AF26" w14:textId="77777777" w:rsidR="009A6219" w:rsidRPr="009F2777" w:rsidRDefault="009A6219" w:rsidP="00B22D09">
            <w:pPr>
              <w:pStyle w:val="TableParagraph"/>
              <w:kinsoku w:val="0"/>
              <w:overflowPunct w:val="0"/>
              <w:spacing w:beforeLines="60" w:before="144" w:after="60"/>
              <w:jc w:val="center"/>
              <w:rPr>
                <w:rFonts w:ascii="Arial" w:hAnsi="Arial" w:cs="Arial"/>
                <w:color w:val="FFFFFF"/>
                <w:w w:val="105"/>
                <w:sz w:val="18"/>
                <w:szCs w:val="18"/>
              </w:rPr>
            </w:pPr>
            <w:r w:rsidRPr="009F2777">
              <w:rPr>
                <w:rFonts w:ascii="Arial" w:hAnsi="Arial" w:cs="Arial"/>
                <w:color w:val="FFFFFF"/>
                <w:w w:val="105"/>
                <w:sz w:val="18"/>
                <w:szCs w:val="18"/>
              </w:rPr>
              <w:t>Compliant at consultation</w:t>
            </w:r>
          </w:p>
        </w:tc>
        <w:tc>
          <w:tcPr>
            <w:tcW w:w="1104" w:type="dxa"/>
            <w:shd w:val="clear" w:color="auto" w:fill="F4973F"/>
            <w:vAlign w:val="center"/>
          </w:tcPr>
          <w:p w14:paraId="4E240F5C" w14:textId="77777777" w:rsidR="009A6219" w:rsidRPr="009F2777" w:rsidRDefault="009A6219" w:rsidP="00B22D09">
            <w:pPr>
              <w:pStyle w:val="TableParagraph"/>
              <w:kinsoku w:val="0"/>
              <w:overflowPunct w:val="0"/>
              <w:spacing w:beforeLines="60" w:before="144" w:after="60"/>
              <w:jc w:val="center"/>
              <w:rPr>
                <w:sz w:val="18"/>
                <w:szCs w:val="18"/>
              </w:rPr>
            </w:pPr>
            <w:r w:rsidRPr="009F2777">
              <w:rPr>
                <w:rFonts w:ascii="Arial" w:hAnsi="Arial" w:cs="Arial"/>
                <w:color w:val="FFFFFF"/>
                <w:w w:val="105"/>
                <w:sz w:val="18"/>
                <w:szCs w:val="18"/>
              </w:rPr>
              <w:t>Compliant at decision</w:t>
            </w:r>
          </w:p>
        </w:tc>
        <w:tc>
          <w:tcPr>
            <w:tcW w:w="1105" w:type="dxa"/>
            <w:shd w:val="clear" w:color="auto" w:fill="F4973F"/>
            <w:vAlign w:val="center"/>
          </w:tcPr>
          <w:p w14:paraId="586E0BFF" w14:textId="77777777" w:rsidR="009A6219" w:rsidRPr="009F2777" w:rsidRDefault="009A6219" w:rsidP="00B22D09">
            <w:pPr>
              <w:pStyle w:val="TableParagraph"/>
              <w:kinsoku w:val="0"/>
              <w:overflowPunct w:val="0"/>
              <w:spacing w:beforeLines="60" w:before="144" w:after="60"/>
              <w:jc w:val="center"/>
              <w:rPr>
                <w:rFonts w:ascii="Arial" w:hAnsi="Arial" w:cs="Arial"/>
                <w:color w:val="FFFFFF"/>
                <w:w w:val="105"/>
                <w:sz w:val="18"/>
                <w:szCs w:val="18"/>
              </w:rPr>
            </w:pPr>
            <w:r w:rsidRPr="009F2777">
              <w:rPr>
                <w:rFonts w:ascii="Arial" w:hAnsi="Arial" w:cs="Arial"/>
                <w:color w:val="FFFFFF"/>
                <w:w w:val="105"/>
                <w:sz w:val="18"/>
                <w:szCs w:val="18"/>
              </w:rPr>
              <w:t>Final RIS published</w:t>
            </w:r>
          </w:p>
        </w:tc>
      </w:tr>
      <w:tr w:rsidR="009A6219" w:rsidRPr="009F2777" w14:paraId="483F73B7" w14:textId="77777777" w:rsidTr="00B22D09">
        <w:trPr>
          <w:trHeight w:val="510"/>
          <w:tblHeader/>
        </w:trPr>
        <w:tc>
          <w:tcPr>
            <w:tcW w:w="5104" w:type="dxa"/>
            <w:shd w:val="clear" w:color="auto" w:fill="auto"/>
            <w:vAlign w:val="center"/>
          </w:tcPr>
          <w:p w14:paraId="7201D375" w14:textId="3CAD6244" w:rsidR="009A6219" w:rsidRPr="003A33CE" w:rsidRDefault="009A6219" w:rsidP="009A6219">
            <w:pPr>
              <w:pStyle w:val="TableParagraph"/>
              <w:keepNext/>
              <w:keepLines/>
              <w:kinsoku w:val="0"/>
              <w:overflowPunct w:val="0"/>
              <w:spacing w:beforeLines="60" w:before="144" w:after="120"/>
              <w:ind w:left="79"/>
              <w:rPr>
                <w:rFonts w:ascii="Arial" w:hAnsi="Arial" w:cs="Arial"/>
                <w:b/>
                <w:spacing w:val="-3"/>
                <w:sz w:val="18"/>
                <w:szCs w:val="18"/>
              </w:rPr>
            </w:pPr>
            <w:r w:rsidRPr="003A33CE">
              <w:rPr>
                <w:rFonts w:ascii="Arial" w:hAnsi="Arial" w:cs="Arial"/>
                <w:b/>
                <w:spacing w:val="-3"/>
                <w:sz w:val="18"/>
                <w:szCs w:val="18"/>
              </w:rPr>
              <w:t>Pregnancy Warning Labels on Packaged Alcoholic Beverages</w:t>
            </w:r>
          </w:p>
        </w:tc>
        <w:tc>
          <w:tcPr>
            <w:tcW w:w="1417" w:type="dxa"/>
            <w:shd w:val="clear" w:color="auto" w:fill="auto"/>
            <w:vAlign w:val="center"/>
          </w:tcPr>
          <w:p w14:paraId="4B1A1721" w14:textId="71AF2911" w:rsidR="009A6219" w:rsidRPr="003A33CE" w:rsidRDefault="009A6219" w:rsidP="009A6219">
            <w:pPr>
              <w:pStyle w:val="TableParagraph"/>
              <w:kinsoku w:val="0"/>
              <w:overflowPunct w:val="0"/>
              <w:spacing w:beforeLines="60" w:before="144" w:after="60"/>
              <w:jc w:val="center"/>
              <w:rPr>
                <w:rFonts w:ascii="Arial" w:hAnsi="Arial" w:cs="Arial"/>
                <w:b/>
                <w:spacing w:val="-3"/>
                <w:sz w:val="18"/>
                <w:szCs w:val="18"/>
              </w:rPr>
            </w:pPr>
            <w:r w:rsidRPr="003A33CE">
              <w:rPr>
                <w:rFonts w:ascii="Arial" w:hAnsi="Arial" w:cs="Arial"/>
                <w:b/>
                <w:spacing w:val="-3"/>
                <w:sz w:val="18"/>
                <w:szCs w:val="18"/>
              </w:rPr>
              <w:t>11 Oct 2018</w:t>
            </w:r>
          </w:p>
        </w:tc>
        <w:tc>
          <w:tcPr>
            <w:tcW w:w="1249" w:type="dxa"/>
            <w:shd w:val="clear" w:color="auto" w:fill="auto"/>
            <w:vAlign w:val="center"/>
          </w:tcPr>
          <w:p w14:paraId="42F62EEB" w14:textId="656FF4C9" w:rsidR="009A6219" w:rsidRPr="003A33CE" w:rsidRDefault="009A6219" w:rsidP="009A6219">
            <w:pPr>
              <w:pStyle w:val="TableParagraph"/>
              <w:kinsoku w:val="0"/>
              <w:overflowPunct w:val="0"/>
              <w:spacing w:beforeLines="60" w:before="144" w:after="60"/>
              <w:jc w:val="center"/>
              <w:rPr>
                <w:rFonts w:ascii="Arial" w:hAnsi="Arial" w:cs="Arial"/>
                <w:b/>
                <w:spacing w:val="-3"/>
                <w:sz w:val="18"/>
                <w:szCs w:val="18"/>
              </w:rPr>
            </w:pPr>
            <w:r w:rsidRPr="003A33CE">
              <w:rPr>
                <w:rFonts w:ascii="Arial" w:hAnsi="Arial" w:cs="Arial"/>
                <w:b/>
                <w:spacing w:val="-3"/>
                <w:sz w:val="18"/>
                <w:szCs w:val="18"/>
              </w:rPr>
              <w:t>Yes</w:t>
            </w:r>
          </w:p>
        </w:tc>
        <w:tc>
          <w:tcPr>
            <w:tcW w:w="1104" w:type="dxa"/>
            <w:shd w:val="clear" w:color="auto" w:fill="auto"/>
            <w:vAlign w:val="center"/>
          </w:tcPr>
          <w:p w14:paraId="7972D6B8" w14:textId="34288423" w:rsidR="009A6219" w:rsidRPr="003A33CE" w:rsidRDefault="009A6219" w:rsidP="009A6219">
            <w:pPr>
              <w:pStyle w:val="TableParagraph"/>
              <w:kinsoku w:val="0"/>
              <w:overflowPunct w:val="0"/>
              <w:spacing w:beforeLines="60" w:before="144" w:after="60"/>
              <w:jc w:val="center"/>
              <w:rPr>
                <w:rFonts w:ascii="Arial" w:hAnsi="Arial" w:cs="Arial"/>
                <w:b/>
                <w:spacing w:val="-3"/>
                <w:sz w:val="18"/>
                <w:szCs w:val="18"/>
              </w:rPr>
            </w:pPr>
            <w:r w:rsidRPr="003A33CE">
              <w:rPr>
                <w:rFonts w:ascii="Arial" w:hAnsi="Arial" w:cs="Arial"/>
                <w:b/>
                <w:spacing w:val="-3"/>
                <w:sz w:val="18"/>
                <w:szCs w:val="18"/>
              </w:rPr>
              <w:t>Yes</w:t>
            </w:r>
          </w:p>
        </w:tc>
        <w:tc>
          <w:tcPr>
            <w:tcW w:w="1105" w:type="dxa"/>
            <w:shd w:val="clear" w:color="auto" w:fill="auto"/>
            <w:vAlign w:val="center"/>
          </w:tcPr>
          <w:p w14:paraId="45A43985" w14:textId="76947744" w:rsidR="009A6219" w:rsidRPr="003A33CE" w:rsidRDefault="009A6219" w:rsidP="009A6219">
            <w:pPr>
              <w:pStyle w:val="TableParagraph"/>
              <w:kinsoku w:val="0"/>
              <w:overflowPunct w:val="0"/>
              <w:spacing w:beforeLines="60" w:before="144" w:after="60"/>
              <w:jc w:val="center"/>
              <w:rPr>
                <w:rFonts w:ascii="Arial" w:hAnsi="Arial" w:cs="Arial"/>
                <w:b/>
                <w:spacing w:val="-3"/>
                <w:sz w:val="18"/>
                <w:szCs w:val="18"/>
              </w:rPr>
            </w:pPr>
            <w:r w:rsidRPr="003A33CE">
              <w:rPr>
                <w:rFonts w:ascii="Arial" w:hAnsi="Arial" w:cs="Arial"/>
                <w:b/>
                <w:spacing w:val="-3"/>
                <w:sz w:val="18"/>
                <w:szCs w:val="18"/>
              </w:rPr>
              <w:t>12 Oct 18</w:t>
            </w:r>
          </w:p>
        </w:tc>
      </w:tr>
    </w:tbl>
    <w:p w14:paraId="2BD761C2" w14:textId="77777777" w:rsidR="009A6219" w:rsidRPr="009A6219" w:rsidRDefault="009A6219" w:rsidP="009A6219">
      <w:pPr>
        <w:pStyle w:val="TableParagraph"/>
        <w:keepNext/>
        <w:keepLines/>
        <w:kinsoku w:val="0"/>
        <w:overflowPunct w:val="0"/>
        <w:spacing w:after="120"/>
        <w:ind w:left="142"/>
        <w:rPr>
          <w:rFonts w:ascii="Arial" w:hAnsi="Arial" w:cs="Arial"/>
          <w:spacing w:val="-3"/>
          <w:sz w:val="18"/>
          <w:szCs w:val="18"/>
        </w:rPr>
      </w:pPr>
      <w:r w:rsidRPr="009A6219">
        <w:rPr>
          <w:rFonts w:ascii="Arial" w:hAnsi="Arial" w:cs="Arial"/>
          <w:spacing w:val="-3"/>
          <w:sz w:val="18"/>
          <w:szCs w:val="18"/>
        </w:rPr>
        <w:t>The Forum agreed, based on the evidence, a mandatory labelling standard for pregnancy warning labels on packaged alcoholic beverages should be developed and should include a pictogram and relevant warning statement. The Forum requested Food Standards Australia New Zealand develop this mandatory labelling standard as a priority.  </w:t>
      </w:r>
    </w:p>
    <w:p w14:paraId="5B23C358" w14:textId="2B3262AC" w:rsidR="00C8725F" w:rsidRDefault="00B61C12" w:rsidP="001B295C">
      <w:pPr>
        <w:pStyle w:val="Heading3"/>
        <w:spacing w:before="180"/>
      </w:pPr>
      <w:bookmarkStart w:id="319" w:name="_Toc20384870"/>
      <w:r>
        <w:t>Australian Building Codes Board</w:t>
      </w:r>
      <w:bookmarkEnd w:id="319"/>
    </w:p>
    <w:tbl>
      <w:tblPr>
        <w:tblW w:w="9979" w:type="dxa"/>
        <w:tblInd w:w="-142" w:type="dxa"/>
        <w:tblLayout w:type="fixed"/>
        <w:tblCellMar>
          <w:left w:w="0" w:type="dxa"/>
          <w:right w:w="0" w:type="dxa"/>
        </w:tblCellMar>
        <w:tblLook w:val="0000" w:firstRow="0" w:lastRow="0" w:firstColumn="0" w:lastColumn="0" w:noHBand="0" w:noVBand="0"/>
        <w:tblCaption w:val="Decorative alcohol fuelled devices"/>
        <w:tblDescription w:val="Decorative alcohol fuelled devices: Compliant at consultation, Compliant at decision, Final RIS published. Decision Date: 10 July 2017."/>
      </w:tblPr>
      <w:tblGrid>
        <w:gridCol w:w="5104"/>
        <w:gridCol w:w="1417"/>
        <w:gridCol w:w="1249"/>
        <w:gridCol w:w="1104"/>
        <w:gridCol w:w="1105"/>
      </w:tblGrid>
      <w:tr w:rsidR="00C8725F" w:rsidRPr="009F2777" w14:paraId="1F8B3AD2" w14:textId="77777777" w:rsidTr="00AD2DAF">
        <w:trPr>
          <w:trHeight w:val="510"/>
          <w:tblHeader/>
        </w:trPr>
        <w:tc>
          <w:tcPr>
            <w:tcW w:w="5104" w:type="dxa"/>
            <w:shd w:val="clear" w:color="auto" w:fill="F4973F"/>
            <w:vAlign w:val="center"/>
          </w:tcPr>
          <w:p w14:paraId="0609F57E" w14:textId="77777777" w:rsidR="00C8725F" w:rsidRPr="009F2777" w:rsidRDefault="00C8725F" w:rsidP="0002781C">
            <w:pPr>
              <w:pStyle w:val="TableParagraph"/>
              <w:kinsoku w:val="0"/>
              <w:overflowPunct w:val="0"/>
              <w:spacing w:beforeLines="60" w:before="144" w:after="60"/>
              <w:ind w:left="85"/>
              <w:rPr>
                <w:sz w:val="18"/>
                <w:szCs w:val="18"/>
              </w:rPr>
            </w:pPr>
            <w:r w:rsidRPr="009F2777">
              <w:rPr>
                <w:rFonts w:ascii="Arial" w:hAnsi="Arial" w:cs="Arial"/>
                <w:color w:val="FFFFFF"/>
                <w:w w:val="105"/>
                <w:sz w:val="18"/>
                <w:szCs w:val="18"/>
              </w:rPr>
              <w:t>Proposal</w:t>
            </w:r>
          </w:p>
        </w:tc>
        <w:tc>
          <w:tcPr>
            <w:tcW w:w="1417" w:type="dxa"/>
            <w:shd w:val="clear" w:color="auto" w:fill="F4973F"/>
            <w:vAlign w:val="center"/>
          </w:tcPr>
          <w:p w14:paraId="471B932D" w14:textId="77777777" w:rsidR="00C8725F" w:rsidRPr="009F2777" w:rsidRDefault="00C8725F" w:rsidP="0002781C">
            <w:pPr>
              <w:pStyle w:val="TableParagraph"/>
              <w:kinsoku w:val="0"/>
              <w:overflowPunct w:val="0"/>
              <w:spacing w:beforeLines="60" w:before="144" w:after="60"/>
              <w:jc w:val="center"/>
              <w:rPr>
                <w:sz w:val="18"/>
                <w:szCs w:val="18"/>
              </w:rPr>
            </w:pPr>
            <w:r w:rsidRPr="009F2777">
              <w:rPr>
                <w:rFonts w:ascii="Arial" w:hAnsi="Arial" w:cs="Arial"/>
                <w:color w:val="FFFFFF"/>
                <w:w w:val="105"/>
                <w:sz w:val="18"/>
                <w:szCs w:val="18"/>
              </w:rPr>
              <w:t>Decision date</w:t>
            </w:r>
          </w:p>
        </w:tc>
        <w:tc>
          <w:tcPr>
            <w:tcW w:w="1249" w:type="dxa"/>
            <w:shd w:val="clear" w:color="auto" w:fill="F4973F"/>
            <w:vAlign w:val="center"/>
          </w:tcPr>
          <w:p w14:paraId="07EA0C3A" w14:textId="77777777" w:rsidR="00C8725F" w:rsidRPr="009F2777" w:rsidRDefault="00C8725F" w:rsidP="0002781C">
            <w:pPr>
              <w:pStyle w:val="TableParagraph"/>
              <w:kinsoku w:val="0"/>
              <w:overflowPunct w:val="0"/>
              <w:spacing w:beforeLines="60" w:before="144" w:after="60"/>
              <w:jc w:val="center"/>
              <w:rPr>
                <w:rFonts w:ascii="Arial" w:hAnsi="Arial" w:cs="Arial"/>
                <w:color w:val="FFFFFF"/>
                <w:w w:val="105"/>
                <w:sz w:val="18"/>
                <w:szCs w:val="18"/>
              </w:rPr>
            </w:pPr>
            <w:r w:rsidRPr="009F2777">
              <w:rPr>
                <w:rFonts w:ascii="Arial" w:hAnsi="Arial" w:cs="Arial"/>
                <w:color w:val="FFFFFF"/>
                <w:w w:val="105"/>
                <w:sz w:val="18"/>
                <w:szCs w:val="18"/>
              </w:rPr>
              <w:t>Compliant at consultation</w:t>
            </w:r>
          </w:p>
        </w:tc>
        <w:tc>
          <w:tcPr>
            <w:tcW w:w="1104" w:type="dxa"/>
            <w:shd w:val="clear" w:color="auto" w:fill="F4973F"/>
            <w:vAlign w:val="center"/>
          </w:tcPr>
          <w:p w14:paraId="38E3CF9B" w14:textId="77777777" w:rsidR="00C8725F" w:rsidRPr="009F2777" w:rsidRDefault="00C8725F" w:rsidP="0002781C">
            <w:pPr>
              <w:pStyle w:val="TableParagraph"/>
              <w:kinsoku w:val="0"/>
              <w:overflowPunct w:val="0"/>
              <w:spacing w:beforeLines="60" w:before="144" w:after="60"/>
              <w:jc w:val="center"/>
              <w:rPr>
                <w:sz w:val="18"/>
                <w:szCs w:val="18"/>
              </w:rPr>
            </w:pPr>
            <w:r w:rsidRPr="009F2777">
              <w:rPr>
                <w:rFonts w:ascii="Arial" w:hAnsi="Arial" w:cs="Arial"/>
                <w:color w:val="FFFFFF"/>
                <w:w w:val="105"/>
                <w:sz w:val="18"/>
                <w:szCs w:val="18"/>
              </w:rPr>
              <w:t>Compliant at decision</w:t>
            </w:r>
          </w:p>
        </w:tc>
        <w:tc>
          <w:tcPr>
            <w:tcW w:w="1105" w:type="dxa"/>
            <w:shd w:val="clear" w:color="auto" w:fill="F4973F"/>
            <w:vAlign w:val="center"/>
          </w:tcPr>
          <w:p w14:paraId="16A0528A" w14:textId="77777777" w:rsidR="00C8725F" w:rsidRPr="009F2777" w:rsidRDefault="00C8725F" w:rsidP="0002781C">
            <w:pPr>
              <w:pStyle w:val="TableParagraph"/>
              <w:kinsoku w:val="0"/>
              <w:overflowPunct w:val="0"/>
              <w:spacing w:beforeLines="60" w:before="144" w:after="60"/>
              <w:jc w:val="center"/>
              <w:rPr>
                <w:rFonts w:ascii="Arial" w:hAnsi="Arial" w:cs="Arial"/>
                <w:color w:val="FFFFFF"/>
                <w:w w:val="105"/>
                <w:sz w:val="18"/>
                <w:szCs w:val="18"/>
              </w:rPr>
            </w:pPr>
            <w:r w:rsidRPr="009F2777">
              <w:rPr>
                <w:rFonts w:ascii="Arial" w:hAnsi="Arial" w:cs="Arial"/>
                <w:color w:val="FFFFFF"/>
                <w:w w:val="105"/>
                <w:sz w:val="18"/>
                <w:szCs w:val="18"/>
              </w:rPr>
              <w:t>Final RIS published</w:t>
            </w:r>
          </w:p>
        </w:tc>
      </w:tr>
      <w:tr w:rsidR="00C8725F" w:rsidRPr="009F2777" w14:paraId="02C3CDA9" w14:textId="77777777" w:rsidTr="0002781C">
        <w:trPr>
          <w:trHeight w:val="510"/>
          <w:tblHeader/>
        </w:trPr>
        <w:tc>
          <w:tcPr>
            <w:tcW w:w="5104" w:type="dxa"/>
            <w:shd w:val="clear" w:color="auto" w:fill="auto"/>
            <w:vAlign w:val="center"/>
          </w:tcPr>
          <w:p w14:paraId="13B862AA" w14:textId="1C6F48BF" w:rsidR="00C8725F" w:rsidRPr="003A33CE" w:rsidRDefault="00C8725F" w:rsidP="00433846">
            <w:pPr>
              <w:pStyle w:val="TableParagraph"/>
              <w:keepNext/>
              <w:keepLines/>
              <w:kinsoku w:val="0"/>
              <w:overflowPunct w:val="0"/>
              <w:spacing w:beforeLines="60" w:before="144" w:after="120"/>
              <w:ind w:left="79"/>
              <w:rPr>
                <w:rFonts w:ascii="Arial" w:hAnsi="Arial" w:cs="Arial"/>
                <w:b/>
                <w:w w:val="105"/>
                <w:sz w:val="18"/>
                <w:szCs w:val="18"/>
              </w:rPr>
            </w:pPr>
            <w:r w:rsidRPr="003A33CE">
              <w:rPr>
                <w:rFonts w:ascii="Arial" w:hAnsi="Arial" w:cs="Arial"/>
                <w:b/>
                <w:spacing w:val="-3"/>
                <w:sz w:val="18"/>
                <w:szCs w:val="18"/>
              </w:rPr>
              <w:t>Accessible Adult Change Facilities in Public Buildings</w:t>
            </w:r>
            <w:r w:rsidRPr="003A33CE">
              <w:rPr>
                <w:rFonts w:ascii="Arial" w:hAnsi="Arial" w:cs="Arial"/>
                <w:b/>
                <w:w w:val="105"/>
                <w:sz w:val="18"/>
                <w:szCs w:val="18"/>
              </w:rPr>
              <w:t xml:space="preserve">  </w:t>
            </w:r>
          </w:p>
        </w:tc>
        <w:tc>
          <w:tcPr>
            <w:tcW w:w="1417" w:type="dxa"/>
            <w:shd w:val="clear" w:color="auto" w:fill="auto"/>
            <w:vAlign w:val="center"/>
          </w:tcPr>
          <w:p w14:paraId="23ADCAAF" w14:textId="6F71E0F6" w:rsidR="00C8725F" w:rsidRPr="003A33CE" w:rsidRDefault="00C8725F" w:rsidP="00C8725F">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18 Dec 18</w:t>
            </w:r>
          </w:p>
        </w:tc>
        <w:tc>
          <w:tcPr>
            <w:tcW w:w="1249" w:type="dxa"/>
            <w:shd w:val="clear" w:color="auto" w:fill="auto"/>
            <w:vAlign w:val="center"/>
          </w:tcPr>
          <w:p w14:paraId="5D455485" w14:textId="77777777" w:rsidR="00C8725F" w:rsidRPr="003A33CE" w:rsidRDefault="00C8725F" w:rsidP="0002781C">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Yes</w:t>
            </w:r>
          </w:p>
        </w:tc>
        <w:tc>
          <w:tcPr>
            <w:tcW w:w="1104" w:type="dxa"/>
            <w:shd w:val="clear" w:color="auto" w:fill="auto"/>
            <w:vAlign w:val="center"/>
          </w:tcPr>
          <w:p w14:paraId="47C84DF4" w14:textId="77777777" w:rsidR="00C8725F" w:rsidRPr="003A33CE" w:rsidRDefault="00C8725F" w:rsidP="0002781C">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Yes</w:t>
            </w:r>
          </w:p>
        </w:tc>
        <w:tc>
          <w:tcPr>
            <w:tcW w:w="1105" w:type="dxa"/>
            <w:shd w:val="clear" w:color="auto" w:fill="auto"/>
            <w:vAlign w:val="center"/>
          </w:tcPr>
          <w:p w14:paraId="6A636919" w14:textId="69E61390" w:rsidR="00C8725F" w:rsidRPr="003A33CE" w:rsidRDefault="00C8725F" w:rsidP="0002781C">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22 Jan 19</w:t>
            </w:r>
          </w:p>
        </w:tc>
      </w:tr>
    </w:tbl>
    <w:p w14:paraId="2CB57D40" w14:textId="6FBC7322" w:rsidR="00C8725F" w:rsidRPr="00433846" w:rsidRDefault="00C8725F" w:rsidP="00433846">
      <w:pPr>
        <w:pStyle w:val="TableParagraph"/>
        <w:keepNext/>
        <w:keepLines/>
        <w:kinsoku w:val="0"/>
        <w:overflowPunct w:val="0"/>
        <w:spacing w:after="120"/>
        <w:ind w:left="142"/>
        <w:rPr>
          <w:rFonts w:ascii="Arial" w:hAnsi="Arial" w:cs="Arial"/>
          <w:spacing w:val="-3"/>
          <w:sz w:val="18"/>
          <w:szCs w:val="18"/>
        </w:rPr>
      </w:pPr>
      <w:r w:rsidRPr="00433846">
        <w:rPr>
          <w:rFonts w:ascii="Arial" w:hAnsi="Arial" w:cs="Arial"/>
          <w:spacing w:val="-3"/>
          <w:sz w:val="18"/>
          <w:szCs w:val="18"/>
        </w:rPr>
        <w:t xml:space="preserve">The RIS examines the impact of proposed amendments to the </w:t>
      </w:r>
      <w:r w:rsidR="002F2F55">
        <w:rPr>
          <w:rFonts w:ascii="Arial" w:hAnsi="Arial" w:cs="Arial"/>
          <w:spacing w:val="-3"/>
          <w:sz w:val="18"/>
          <w:szCs w:val="18"/>
        </w:rPr>
        <w:t xml:space="preserve">National Construction Code </w:t>
      </w:r>
      <w:r w:rsidRPr="00433846">
        <w:rPr>
          <w:rFonts w:ascii="Arial" w:hAnsi="Arial" w:cs="Arial"/>
          <w:spacing w:val="-3"/>
          <w:sz w:val="18"/>
          <w:szCs w:val="18"/>
        </w:rPr>
        <w:t>to require the construction of separate accessible adult change facilities (AACF) in public buildings including shopping centres and other public assembly buildings.</w:t>
      </w:r>
    </w:p>
    <w:tbl>
      <w:tblPr>
        <w:tblW w:w="9979" w:type="dxa"/>
        <w:tblInd w:w="-142" w:type="dxa"/>
        <w:tblLayout w:type="fixed"/>
        <w:tblCellMar>
          <w:left w:w="0" w:type="dxa"/>
          <w:right w:w="0" w:type="dxa"/>
        </w:tblCellMar>
        <w:tblLook w:val="0000" w:firstRow="0" w:lastRow="0" w:firstColumn="0" w:lastColumn="0" w:noHBand="0" w:noVBand="0"/>
        <w:tblCaption w:val="Decorative alcohol fuelled devices"/>
        <w:tblDescription w:val="Decorative alcohol fuelled devices: Compliant at consultation, Compliant at decision, Final RIS published. Decision Date: 10 July 2017."/>
      </w:tblPr>
      <w:tblGrid>
        <w:gridCol w:w="5104"/>
        <w:gridCol w:w="1417"/>
        <w:gridCol w:w="1249"/>
        <w:gridCol w:w="1104"/>
        <w:gridCol w:w="1105"/>
      </w:tblGrid>
      <w:tr w:rsidR="00B61C12" w:rsidRPr="003A33CE" w14:paraId="4EF0BD4A" w14:textId="77777777" w:rsidTr="0002781C">
        <w:trPr>
          <w:trHeight w:val="510"/>
          <w:tblHeader/>
        </w:trPr>
        <w:tc>
          <w:tcPr>
            <w:tcW w:w="5104" w:type="dxa"/>
            <w:shd w:val="clear" w:color="auto" w:fill="auto"/>
            <w:vAlign w:val="center"/>
          </w:tcPr>
          <w:p w14:paraId="4C86852F" w14:textId="77777777" w:rsidR="00B61C12" w:rsidRPr="003A33CE" w:rsidRDefault="00B61C12" w:rsidP="00433846">
            <w:pPr>
              <w:pStyle w:val="TableParagraph"/>
              <w:keepNext/>
              <w:keepLines/>
              <w:kinsoku w:val="0"/>
              <w:overflowPunct w:val="0"/>
              <w:spacing w:beforeLines="60" w:before="144" w:after="120"/>
              <w:ind w:left="79"/>
              <w:rPr>
                <w:rFonts w:ascii="Arial" w:hAnsi="Arial" w:cs="Arial"/>
                <w:b/>
                <w:w w:val="105"/>
                <w:sz w:val="18"/>
                <w:szCs w:val="18"/>
              </w:rPr>
            </w:pPr>
            <w:r w:rsidRPr="003A33CE">
              <w:rPr>
                <w:rFonts w:ascii="Arial" w:hAnsi="Arial" w:cs="Arial"/>
                <w:b/>
                <w:spacing w:val="-3"/>
                <w:sz w:val="18"/>
                <w:szCs w:val="18"/>
              </w:rPr>
              <w:t>Energy Efficiency of Commercial Buildings</w:t>
            </w:r>
          </w:p>
        </w:tc>
        <w:tc>
          <w:tcPr>
            <w:tcW w:w="1417" w:type="dxa"/>
            <w:shd w:val="clear" w:color="auto" w:fill="auto"/>
            <w:vAlign w:val="center"/>
          </w:tcPr>
          <w:p w14:paraId="5FB02BDF" w14:textId="77777777" w:rsidR="00B61C12" w:rsidRPr="003A33CE" w:rsidRDefault="00B61C12" w:rsidP="0002781C">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21 Dec 18</w:t>
            </w:r>
          </w:p>
        </w:tc>
        <w:tc>
          <w:tcPr>
            <w:tcW w:w="1249" w:type="dxa"/>
            <w:shd w:val="clear" w:color="auto" w:fill="auto"/>
            <w:vAlign w:val="center"/>
          </w:tcPr>
          <w:p w14:paraId="048FF503" w14:textId="77777777" w:rsidR="00B61C12" w:rsidRPr="003A33CE" w:rsidRDefault="00B61C12" w:rsidP="0002781C">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Yes</w:t>
            </w:r>
          </w:p>
        </w:tc>
        <w:tc>
          <w:tcPr>
            <w:tcW w:w="1104" w:type="dxa"/>
            <w:shd w:val="clear" w:color="auto" w:fill="auto"/>
            <w:vAlign w:val="center"/>
          </w:tcPr>
          <w:p w14:paraId="21B73641" w14:textId="77777777" w:rsidR="00B61C12" w:rsidRPr="003A33CE" w:rsidRDefault="00B61C12" w:rsidP="0002781C">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Yes</w:t>
            </w:r>
          </w:p>
        </w:tc>
        <w:tc>
          <w:tcPr>
            <w:tcW w:w="1105" w:type="dxa"/>
            <w:shd w:val="clear" w:color="auto" w:fill="auto"/>
            <w:vAlign w:val="center"/>
          </w:tcPr>
          <w:p w14:paraId="0CA91E01" w14:textId="77777777" w:rsidR="00B61C12" w:rsidRPr="003A33CE" w:rsidRDefault="00B61C12" w:rsidP="0002781C">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22 Jan 19</w:t>
            </w:r>
          </w:p>
        </w:tc>
      </w:tr>
    </w:tbl>
    <w:p w14:paraId="4DDA32D9" w14:textId="709325D9" w:rsidR="00B61C12" w:rsidRDefault="0093315A" w:rsidP="00433846">
      <w:pPr>
        <w:pStyle w:val="TableParagraph"/>
        <w:keepNext/>
        <w:keepLines/>
        <w:kinsoku w:val="0"/>
        <w:overflowPunct w:val="0"/>
        <w:spacing w:after="120"/>
        <w:ind w:left="142"/>
        <w:rPr>
          <w:rFonts w:ascii="Arial" w:hAnsi="Arial" w:cs="Arial"/>
          <w:spacing w:val="-3"/>
          <w:sz w:val="18"/>
          <w:szCs w:val="18"/>
        </w:rPr>
      </w:pPr>
      <w:r w:rsidRPr="0093315A">
        <w:rPr>
          <w:rFonts w:ascii="Arial" w:hAnsi="Arial" w:cs="Arial"/>
          <w:spacing w:val="-3"/>
          <w:sz w:val="18"/>
          <w:szCs w:val="18"/>
        </w:rPr>
        <w:t>The Australian Building Codes Board agreed to amend the N</w:t>
      </w:r>
      <w:r w:rsidR="002F2F55">
        <w:rPr>
          <w:rFonts w:ascii="Arial" w:hAnsi="Arial" w:cs="Arial"/>
          <w:spacing w:val="-3"/>
          <w:sz w:val="18"/>
          <w:szCs w:val="18"/>
        </w:rPr>
        <w:t xml:space="preserve">ational Construction Code </w:t>
      </w:r>
      <w:r w:rsidRPr="0093315A">
        <w:rPr>
          <w:rFonts w:ascii="Arial" w:hAnsi="Arial" w:cs="Arial"/>
          <w:spacing w:val="-3"/>
          <w:sz w:val="18"/>
          <w:szCs w:val="18"/>
        </w:rPr>
        <w:t>to improve the energy efficiency of commercial buildings, which included changes to performance requirements, verification methods, and performance solutions.</w:t>
      </w:r>
    </w:p>
    <w:tbl>
      <w:tblPr>
        <w:tblW w:w="9979" w:type="dxa"/>
        <w:tblInd w:w="-142" w:type="dxa"/>
        <w:tblLayout w:type="fixed"/>
        <w:tblCellMar>
          <w:left w:w="0" w:type="dxa"/>
          <w:right w:w="0" w:type="dxa"/>
        </w:tblCellMar>
        <w:tblLook w:val="0000" w:firstRow="0" w:lastRow="0" w:firstColumn="0" w:lastColumn="0" w:noHBand="0" w:noVBand="0"/>
        <w:tblCaption w:val="Decorative alcohol fuelled devices"/>
        <w:tblDescription w:val="Decorative alcohol fuelled devices: Compliant at consultation, Compliant at decision, Final RIS published. Decision Date: 10 July 2017."/>
      </w:tblPr>
      <w:tblGrid>
        <w:gridCol w:w="5104"/>
        <w:gridCol w:w="1417"/>
        <w:gridCol w:w="1249"/>
        <w:gridCol w:w="1104"/>
        <w:gridCol w:w="1105"/>
      </w:tblGrid>
      <w:tr w:rsidR="0032777B" w:rsidRPr="003A33CE" w14:paraId="249CC3B9" w14:textId="77777777" w:rsidTr="00B22D09">
        <w:trPr>
          <w:trHeight w:val="794"/>
          <w:tblHeader/>
        </w:trPr>
        <w:tc>
          <w:tcPr>
            <w:tcW w:w="5104" w:type="dxa"/>
            <w:shd w:val="clear" w:color="auto" w:fill="auto"/>
            <w:vAlign w:val="center"/>
          </w:tcPr>
          <w:p w14:paraId="6BC67DC2" w14:textId="4B52F8A2" w:rsidR="0032777B" w:rsidRPr="003A33CE" w:rsidRDefault="0032777B" w:rsidP="00B22D09">
            <w:pPr>
              <w:pStyle w:val="TableParagraph"/>
              <w:keepNext/>
              <w:keepLines/>
              <w:kinsoku w:val="0"/>
              <w:overflowPunct w:val="0"/>
              <w:spacing w:beforeLines="60" w:before="144" w:after="120"/>
              <w:ind w:left="79"/>
              <w:rPr>
                <w:rFonts w:ascii="Arial" w:hAnsi="Arial" w:cs="Arial"/>
                <w:b/>
                <w:w w:val="105"/>
                <w:sz w:val="18"/>
                <w:szCs w:val="18"/>
              </w:rPr>
            </w:pPr>
            <w:r w:rsidRPr="003A33CE">
              <w:rPr>
                <w:rFonts w:ascii="Arial" w:hAnsi="Arial" w:cs="Arial"/>
                <w:b/>
                <w:spacing w:val="-3"/>
                <w:sz w:val="18"/>
                <w:szCs w:val="18"/>
              </w:rPr>
              <w:t>Inclusion of Heating and Cooling Energy Load Limits in Nationwide Hous</w:t>
            </w:r>
            <w:r w:rsidR="002F2F55" w:rsidRPr="003A33CE">
              <w:rPr>
                <w:rFonts w:ascii="Arial" w:hAnsi="Arial" w:cs="Arial"/>
                <w:b/>
                <w:spacing w:val="-3"/>
                <w:sz w:val="18"/>
                <w:szCs w:val="18"/>
              </w:rPr>
              <w:t>e Energy Rating Scheme</w:t>
            </w:r>
            <w:r w:rsidRPr="003A33CE">
              <w:rPr>
                <w:rFonts w:ascii="Arial" w:hAnsi="Arial" w:cs="Arial"/>
                <w:b/>
                <w:spacing w:val="-3"/>
                <w:sz w:val="18"/>
                <w:szCs w:val="18"/>
              </w:rPr>
              <w:t xml:space="preserve"> Assessments</w:t>
            </w:r>
          </w:p>
        </w:tc>
        <w:tc>
          <w:tcPr>
            <w:tcW w:w="1417" w:type="dxa"/>
            <w:shd w:val="clear" w:color="auto" w:fill="auto"/>
            <w:vAlign w:val="center"/>
          </w:tcPr>
          <w:p w14:paraId="38D37B74" w14:textId="77777777" w:rsidR="0032777B" w:rsidRPr="003A33CE" w:rsidRDefault="0032777B" w:rsidP="00B22D09">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18 Dec 18</w:t>
            </w:r>
          </w:p>
        </w:tc>
        <w:tc>
          <w:tcPr>
            <w:tcW w:w="1249" w:type="dxa"/>
            <w:shd w:val="clear" w:color="auto" w:fill="auto"/>
            <w:vAlign w:val="center"/>
          </w:tcPr>
          <w:p w14:paraId="2433F446" w14:textId="77777777" w:rsidR="0032777B" w:rsidRPr="003A33CE" w:rsidRDefault="0032777B" w:rsidP="00B22D09">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Yes</w:t>
            </w:r>
          </w:p>
        </w:tc>
        <w:tc>
          <w:tcPr>
            <w:tcW w:w="1104" w:type="dxa"/>
            <w:shd w:val="clear" w:color="auto" w:fill="auto"/>
            <w:vAlign w:val="center"/>
          </w:tcPr>
          <w:p w14:paraId="782EE0D1" w14:textId="77777777" w:rsidR="0032777B" w:rsidRPr="003A33CE" w:rsidRDefault="0032777B" w:rsidP="00B22D09">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Yes</w:t>
            </w:r>
          </w:p>
        </w:tc>
        <w:tc>
          <w:tcPr>
            <w:tcW w:w="1105" w:type="dxa"/>
            <w:shd w:val="clear" w:color="auto" w:fill="auto"/>
            <w:vAlign w:val="center"/>
          </w:tcPr>
          <w:p w14:paraId="3973A564" w14:textId="77777777" w:rsidR="0032777B" w:rsidRPr="003A33CE" w:rsidRDefault="0032777B" w:rsidP="00B22D09">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28 Feb 19</w:t>
            </w:r>
          </w:p>
        </w:tc>
      </w:tr>
    </w:tbl>
    <w:p w14:paraId="2753B942" w14:textId="29092029" w:rsidR="0032777B" w:rsidRPr="00433846" w:rsidRDefault="002F2F55" w:rsidP="0032777B">
      <w:pPr>
        <w:pStyle w:val="TableParagraph"/>
        <w:keepNext/>
        <w:keepLines/>
        <w:kinsoku w:val="0"/>
        <w:overflowPunct w:val="0"/>
        <w:spacing w:after="120"/>
        <w:ind w:left="142"/>
        <w:rPr>
          <w:rFonts w:ascii="Arial" w:hAnsi="Arial" w:cs="Arial"/>
          <w:spacing w:val="-3"/>
          <w:sz w:val="18"/>
          <w:szCs w:val="18"/>
        </w:rPr>
      </w:pPr>
      <w:r>
        <w:rPr>
          <w:rFonts w:ascii="Arial" w:hAnsi="Arial" w:cs="Arial"/>
          <w:spacing w:val="-3"/>
          <w:sz w:val="18"/>
          <w:szCs w:val="18"/>
        </w:rPr>
        <w:t>The RIS</w:t>
      </w:r>
      <w:r w:rsidR="0032777B">
        <w:rPr>
          <w:rFonts w:ascii="Arial" w:hAnsi="Arial" w:cs="Arial"/>
          <w:spacing w:val="-3"/>
          <w:sz w:val="18"/>
          <w:szCs w:val="18"/>
        </w:rPr>
        <w:t xml:space="preserve"> e</w:t>
      </w:r>
      <w:r w:rsidR="0032777B" w:rsidRPr="00433846">
        <w:rPr>
          <w:rFonts w:ascii="Arial" w:hAnsi="Arial" w:cs="Arial"/>
          <w:spacing w:val="-3"/>
          <w:sz w:val="18"/>
          <w:szCs w:val="18"/>
        </w:rPr>
        <w:t xml:space="preserve">xamines the impact of proposed amendments to the National Construction Code </w:t>
      </w:r>
      <w:r>
        <w:rPr>
          <w:rFonts w:ascii="Arial" w:hAnsi="Arial" w:cs="Arial"/>
          <w:spacing w:val="-3"/>
          <w:sz w:val="18"/>
          <w:szCs w:val="18"/>
        </w:rPr>
        <w:t xml:space="preserve">(NCC) </w:t>
      </w:r>
      <w:r w:rsidR="0032777B" w:rsidRPr="00433846">
        <w:rPr>
          <w:rFonts w:ascii="Arial" w:hAnsi="Arial" w:cs="Arial"/>
          <w:spacing w:val="-3"/>
          <w:sz w:val="18"/>
          <w:szCs w:val="18"/>
        </w:rPr>
        <w:t>to implement separate heating and cooling load limits for assessments subject to the Nationwide House Energy Rating Scheme (</w:t>
      </w:r>
      <w:proofErr w:type="spellStart"/>
      <w:r w:rsidR="0032777B" w:rsidRPr="00433846">
        <w:rPr>
          <w:rFonts w:ascii="Arial" w:hAnsi="Arial" w:cs="Arial"/>
          <w:spacing w:val="-3"/>
          <w:sz w:val="18"/>
          <w:szCs w:val="18"/>
        </w:rPr>
        <w:t>NatHERS</w:t>
      </w:r>
      <w:proofErr w:type="spellEnd"/>
      <w:r w:rsidR="0032777B" w:rsidRPr="00433846">
        <w:rPr>
          <w:rFonts w:ascii="Arial" w:hAnsi="Arial" w:cs="Arial"/>
          <w:spacing w:val="-3"/>
          <w:sz w:val="18"/>
          <w:szCs w:val="18"/>
        </w:rPr>
        <w:t>) compliance pathway for Class 1 and Class 2 dwellings, and Class 4 parts of buildings, in relevant climate zones. This change will be reflected in NCC 2019 and subjec</w:t>
      </w:r>
      <w:r w:rsidR="0032777B">
        <w:rPr>
          <w:rFonts w:ascii="Arial" w:hAnsi="Arial" w:cs="Arial"/>
          <w:spacing w:val="-3"/>
          <w:sz w:val="18"/>
          <w:szCs w:val="18"/>
        </w:rPr>
        <w:t>t to a one year transition, taking</w:t>
      </w:r>
      <w:r w:rsidR="0032777B" w:rsidRPr="00433846">
        <w:rPr>
          <w:rFonts w:ascii="Arial" w:hAnsi="Arial" w:cs="Arial"/>
          <w:spacing w:val="-3"/>
          <w:sz w:val="18"/>
          <w:szCs w:val="18"/>
        </w:rPr>
        <w:t xml:space="preserve"> effect from 1 May 2020.</w:t>
      </w:r>
    </w:p>
    <w:tbl>
      <w:tblPr>
        <w:tblW w:w="9979" w:type="dxa"/>
        <w:tblInd w:w="-142" w:type="dxa"/>
        <w:tblLayout w:type="fixed"/>
        <w:tblCellMar>
          <w:left w:w="0" w:type="dxa"/>
          <w:right w:w="0" w:type="dxa"/>
        </w:tblCellMar>
        <w:tblLook w:val="0000" w:firstRow="0" w:lastRow="0" w:firstColumn="0" w:lastColumn="0" w:noHBand="0" w:noVBand="0"/>
        <w:tblCaption w:val="Decorative alcohol fuelled devices"/>
        <w:tblDescription w:val="Decorative alcohol fuelled devices: Compliant at consultation, Compliant at decision, Final RIS published. Decision Date: 10 July 2017."/>
      </w:tblPr>
      <w:tblGrid>
        <w:gridCol w:w="5104"/>
        <w:gridCol w:w="1417"/>
        <w:gridCol w:w="1249"/>
        <w:gridCol w:w="1104"/>
        <w:gridCol w:w="1105"/>
      </w:tblGrid>
      <w:tr w:rsidR="00B61C12" w:rsidRPr="009F2777" w14:paraId="65783339" w14:textId="77777777" w:rsidTr="0002781C">
        <w:trPr>
          <w:trHeight w:val="737"/>
          <w:tblHeader/>
        </w:trPr>
        <w:tc>
          <w:tcPr>
            <w:tcW w:w="5104" w:type="dxa"/>
            <w:shd w:val="clear" w:color="auto" w:fill="auto"/>
            <w:vAlign w:val="center"/>
          </w:tcPr>
          <w:p w14:paraId="355603A1" w14:textId="77777777" w:rsidR="00B61C12" w:rsidRPr="003A33CE" w:rsidRDefault="00B61C12" w:rsidP="00433846">
            <w:pPr>
              <w:pStyle w:val="TableParagraph"/>
              <w:keepNext/>
              <w:keepLines/>
              <w:kinsoku w:val="0"/>
              <w:overflowPunct w:val="0"/>
              <w:spacing w:beforeLines="60" w:before="144" w:after="120"/>
              <w:ind w:left="79"/>
              <w:rPr>
                <w:rFonts w:ascii="Arial" w:hAnsi="Arial" w:cs="Arial"/>
                <w:b/>
                <w:w w:val="105"/>
                <w:sz w:val="18"/>
                <w:szCs w:val="18"/>
              </w:rPr>
            </w:pPr>
            <w:r w:rsidRPr="003A33CE">
              <w:rPr>
                <w:rFonts w:ascii="Arial" w:hAnsi="Arial" w:cs="Arial"/>
                <w:b/>
                <w:spacing w:val="-3"/>
                <w:sz w:val="18"/>
                <w:szCs w:val="18"/>
              </w:rPr>
              <w:t>Fire Safety Provisions for New Mid-rise Residential Buildings</w:t>
            </w:r>
            <w:r w:rsidRPr="003A33CE">
              <w:rPr>
                <w:rFonts w:ascii="Arial" w:hAnsi="Arial" w:cs="Arial"/>
                <w:b/>
                <w:w w:val="105"/>
                <w:sz w:val="18"/>
                <w:szCs w:val="18"/>
              </w:rPr>
              <w:t xml:space="preserve"> </w:t>
            </w:r>
          </w:p>
        </w:tc>
        <w:tc>
          <w:tcPr>
            <w:tcW w:w="1417" w:type="dxa"/>
            <w:shd w:val="clear" w:color="auto" w:fill="auto"/>
            <w:vAlign w:val="center"/>
          </w:tcPr>
          <w:p w14:paraId="3FD5FDFF" w14:textId="77777777" w:rsidR="00B61C12" w:rsidRPr="003A33CE" w:rsidRDefault="00B61C12" w:rsidP="0002781C">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22 Nov 18</w:t>
            </w:r>
          </w:p>
        </w:tc>
        <w:tc>
          <w:tcPr>
            <w:tcW w:w="1249" w:type="dxa"/>
            <w:shd w:val="clear" w:color="auto" w:fill="auto"/>
            <w:vAlign w:val="center"/>
          </w:tcPr>
          <w:p w14:paraId="0F7DF68F" w14:textId="77777777" w:rsidR="00B61C12" w:rsidRPr="003A33CE" w:rsidRDefault="00B61C12" w:rsidP="0002781C">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Yes</w:t>
            </w:r>
          </w:p>
        </w:tc>
        <w:tc>
          <w:tcPr>
            <w:tcW w:w="1104" w:type="dxa"/>
            <w:shd w:val="clear" w:color="auto" w:fill="auto"/>
            <w:vAlign w:val="center"/>
          </w:tcPr>
          <w:p w14:paraId="6E687409" w14:textId="77777777" w:rsidR="00B61C12" w:rsidRPr="003A33CE" w:rsidRDefault="00B61C12" w:rsidP="0002781C">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Yes</w:t>
            </w:r>
          </w:p>
        </w:tc>
        <w:tc>
          <w:tcPr>
            <w:tcW w:w="1105" w:type="dxa"/>
            <w:shd w:val="clear" w:color="auto" w:fill="auto"/>
            <w:vAlign w:val="center"/>
          </w:tcPr>
          <w:p w14:paraId="38385DEE" w14:textId="77777777" w:rsidR="00B61C12" w:rsidRPr="003A33CE" w:rsidRDefault="00B61C12" w:rsidP="0002781C">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1 Mar 19</w:t>
            </w:r>
          </w:p>
        </w:tc>
      </w:tr>
    </w:tbl>
    <w:p w14:paraId="2B7171AA" w14:textId="76E5EAC5" w:rsidR="001D5CEA" w:rsidRPr="002F2F55" w:rsidRDefault="00B61C12" w:rsidP="001A6087">
      <w:pPr>
        <w:pStyle w:val="TableParagraph"/>
        <w:keepNext/>
        <w:keepLines/>
        <w:kinsoku w:val="0"/>
        <w:overflowPunct w:val="0"/>
        <w:spacing w:after="120"/>
        <w:ind w:left="142"/>
        <w:rPr>
          <w:rFonts w:ascii="Arial" w:hAnsi="Arial" w:cs="Arial"/>
          <w:spacing w:val="-3"/>
          <w:sz w:val="18"/>
          <w:szCs w:val="18"/>
        </w:rPr>
      </w:pPr>
      <w:r w:rsidRPr="00433846">
        <w:rPr>
          <w:rFonts w:ascii="Arial" w:hAnsi="Arial" w:cs="Arial"/>
          <w:spacing w:val="-3"/>
          <w:sz w:val="18"/>
          <w:szCs w:val="18"/>
        </w:rPr>
        <w:t xml:space="preserve">The </w:t>
      </w:r>
      <w:r w:rsidR="00FD50C6" w:rsidRPr="00433846">
        <w:rPr>
          <w:rFonts w:ascii="Arial" w:hAnsi="Arial" w:cs="Arial"/>
          <w:spacing w:val="-3"/>
          <w:sz w:val="18"/>
          <w:szCs w:val="18"/>
        </w:rPr>
        <w:t>Australian Building Codes Board</w:t>
      </w:r>
      <w:r w:rsidRPr="00433846">
        <w:rPr>
          <w:rFonts w:ascii="Arial" w:hAnsi="Arial" w:cs="Arial"/>
          <w:spacing w:val="-3"/>
          <w:sz w:val="18"/>
          <w:szCs w:val="18"/>
        </w:rPr>
        <w:t xml:space="preserve"> agreed to amend the deemed-to-satisfy (</w:t>
      </w:r>
      <w:proofErr w:type="spellStart"/>
      <w:r w:rsidRPr="00433846">
        <w:rPr>
          <w:rFonts w:ascii="Arial" w:hAnsi="Arial" w:cs="Arial"/>
          <w:spacing w:val="-3"/>
          <w:sz w:val="18"/>
          <w:szCs w:val="18"/>
        </w:rPr>
        <w:t>DtS</w:t>
      </w:r>
      <w:proofErr w:type="spellEnd"/>
      <w:r w:rsidRPr="00433846">
        <w:rPr>
          <w:rFonts w:ascii="Arial" w:hAnsi="Arial" w:cs="Arial"/>
          <w:spacing w:val="-3"/>
          <w:sz w:val="18"/>
          <w:szCs w:val="18"/>
        </w:rPr>
        <w:t xml:space="preserve">) provisions of the National Construction Code to require fire sprinkler systems in new Class 2 and 3 residential buildings of four or more storeys and less than </w:t>
      </w:r>
      <w:r w:rsidR="001A6087">
        <w:rPr>
          <w:rFonts w:ascii="Arial" w:hAnsi="Arial" w:cs="Arial"/>
          <w:spacing w:val="-3"/>
          <w:sz w:val="18"/>
          <w:szCs w:val="18"/>
        </w:rPr>
        <w:t xml:space="preserve">           </w:t>
      </w:r>
      <w:r w:rsidRPr="00433846">
        <w:rPr>
          <w:rFonts w:ascii="Arial" w:hAnsi="Arial" w:cs="Arial"/>
          <w:spacing w:val="-3"/>
          <w:sz w:val="18"/>
          <w:szCs w:val="18"/>
        </w:rPr>
        <w:t xml:space="preserve">25 metres in effective height (generally those buildings four to eight storeys in height). </w:t>
      </w:r>
    </w:p>
    <w:p w14:paraId="46E3F515" w14:textId="77777777" w:rsidR="002F2F55" w:rsidRDefault="002F2F55" w:rsidP="002F2F55">
      <w:pPr>
        <w:pStyle w:val="Heading3"/>
      </w:pPr>
    </w:p>
    <w:p w14:paraId="76D9101B" w14:textId="77777777" w:rsidR="002F2F55" w:rsidRDefault="002F2F55" w:rsidP="002F2F55">
      <w:pPr>
        <w:pStyle w:val="Heading3"/>
      </w:pPr>
    </w:p>
    <w:p w14:paraId="14463A4F" w14:textId="77777777" w:rsidR="002F2F55" w:rsidRDefault="002F2F55" w:rsidP="002F2F55">
      <w:pPr>
        <w:pStyle w:val="Heading3"/>
      </w:pPr>
    </w:p>
    <w:p w14:paraId="3B1DDCBA" w14:textId="77777777" w:rsidR="002F2F55" w:rsidRDefault="002F2F55" w:rsidP="002F2F55">
      <w:pPr>
        <w:pStyle w:val="Heading3"/>
      </w:pPr>
    </w:p>
    <w:p w14:paraId="31B56ACB" w14:textId="77777777" w:rsidR="002F2F55" w:rsidRDefault="002F2F55" w:rsidP="002F2F55">
      <w:pPr>
        <w:pStyle w:val="Heading3"/>
      </w:pPr>
    </w:p>
    <w:p w14:paraId="1FF01848" w14:textId="77777777" w:rsidR="002F2F55" w:rsidRDefault="002F2F55" w:rsidP="002F2F55">
      <w:pPr>
        <w:pStyle w:val="Heading3"/>
      </w:pPr>
    </w:p>
    <w:p w14:paraId="2291A3EF" w14:textId="77777777" w:rsidR="002F2F55" w:rsidRDefault="002F2F55" w:rsidP="002F2F55">
      <w:pPr>
        <w:pStyle w:val="Heading3"/>
      </w:pPr>
    </w:p>
    <w:p w14:paraId="61E9C636" w14:textId="77777777" w:rsidR="002F2F55" w:rsidRDefault="002F2F55" w:rsidP="002F2F55">
      <w:pPr>
        <w:pStyle w:val="Heading3"/>
      </w:pPr>
    </w:p>
    <w:p w14:paraId="35E81B88" w14:textId="77777777" w:rsidR="002F2F55" w:rsidRDefault="002F2F55" w:rsidP="002F2F55">
      <w:pPr>
        <w:pStyle w:val="Heading3"/>
      </w:pPr>
    </w:p>
    <w:p w14:paraId="55316F7B" w14:textId="24F714DD" w:rsidR="00AD2DAF" w:rsidRPr="002F2F55" w:rsidRDefault="00AD2DAF" w:rsidP="002F2F55">
      <w:pPr>
        <w:pStyle w:val="Heading3"/>
      </w:pPr>
      <w:bookmarkStart w:id="320" w:name="_Toc20384871"/>
      <w:r>
        <w:t>COAG Energy Council</w:t>
      </w:r>
      <w:bookmarkEnd w:id="320"/>
    </w:p>
    <w:tbl>
      <w:tblPr>
        <w:tblW w:w="9979" w:type="dxa"/>
        <w:tblInd w:w="-142" w:type="dxa"/>
        <w:tblLayout w:type="fixed"/>
        <w:tblCellMar>
          <w:left w:w="0" w:type="dxa"/>
          <w:right w:w="0" w:type="dxa"/>
        </w:tblCellMar>
        <w:tblLook w:val="0000" w:firstRow="0" w:lastRow="0" w:firstColumn="0" w:lastColumn="0" w:noHBand="0" w:noVBand="0"/>
        <w:tblCaption w:val="Decorative alcohol fuelled devices"/>
        <w:tblDescription w:val="Decorative alcohol fuelled devices: Compliant at consultation, Compliant at decision, Final RIS published. Decision Date: 10 July 2017."/>
      </w:tblPr>
      <w:tblGrid>
        <w:gridCol w:w="5104"/>
        <w:gridCol w:w="1417"/>
        <w:gridCol w:w="1249"/>
        <w:gridCol w:w="1104"/>
        <w:gridCol w:w="1105"/>
      </w:tblGrid>
      <w:tr w:rsidR="00AD2DAF" w:rsidRPr="009F2777" w14:paraId="59993417" w14:textId="77777777" w:rsidTr="00AD2DAF">
        <w:trPr>
          <w:trHeight w:val="510"/>
          <w:tblHeader/>
        </w:trPr>
        <w:tc>
          <w:tcPr>
            <w:tcW w:w="5104" w:type="dxa"/>
            <w:shd w:val="clear" w:color="auto" w:fill="F4973F"/>
            <w:vAlign w:val="center"/>
          </w:tcPr>
          <w:p w14:paraId="4466124A" w14:textId="77777777" w:rsidR="00AD2DAF" w:rsidRPr="009F2777" w:rsidRDefault="00AD2DAF" w:rsidP="0002781C">
            <w:pPr>
              <w:pStyle w:val="TableParagraph"/>
              <w:kinsoku w:val="0"/>
              <w:overflowPunct w:val="0"/>
              <w:spacing w:beforeLines="60" w:before="144" w:after="60"/>
              <w:ind w:left="85"/>
              <w:rPr>
                <w:sz w:val="18"/>
                <w:szCs w:val="18"/>
              </w:rPr>
            </w:pPr>
            <w:r w:rsidRPr="009F2777">
              <w:rPr>
                <w:rFonts w:ascii="Arial" w:hAnsi="Arial" w:cs="Arial"/>
                <w:color w:val="FFFFFF"/>
                <w:w w:val="105"/>
                <w:sz w:val="18"/>
                <w:szCs w:val="18"/>
              </w:rPr>
              <w:t>Proposal</w:t>
            </w:r>
          </w:p>
        </w:tc>
        <w:tc>
          <w:tcPr>
            <w:tcW w:w="1417" w:type="dxa"/>
            <w:shd w:val="clear" w:color="auto" w:fill="F4973F"/>
            <w:vAlign w:val="center"/>
          </w:tcPr>
          <w:p w14:paraId="1AD88C8F" w14:textId="77777777" w:rsidR="00AD2DAF" w:rsidRPr="009F2777" w:rsidRDefault="00AD2DAF" w:rsidP="0002781C">
            <w:pPr>
              <w:pStyle w:val="TableParagraph"/>
              <w:kinsoku w:val="0"/>
              <w:overflowPunct w:val="0"/>
              <w:spacing w:beforeLines="60" w:before="144" w:after="60"/>
              <w:jc w:val="center"/>
              <w:rPr>
                <w:sz w:val="18"/>
                <w:szCs w:val="18"/>
              </w:rPr>
            </w:pPr>
            <w:r w:rsidRPr="009F2777">
              <w:rPr>
                <w:rFonts w:ascii="Arial" w:hAnsi="Arial" w:cs="Arial"/>
                <w:color w:val="FFFFFF"/>
                <w:w w:val="105"/>
                <w:sz w:val="18"/>
                <w:szCs w:val="18"/>
              </w:rPr>
              <w:t>Decision date</w:t>
            </w:r>
          </w:p>
        </w:tc>
        <w:tc>
          <w:tcPr>
            <w:tcW w:w="1249" w:type="dxa"/>
            <w:shd w:val="clear" w:color="auto" w:fill="F4973F"/>
            <w:vAlign w:val="center"/>
          </w:tcPr>
          <w:p w14:paraId="0094FE1A" w14:textId="77777777" w:rsidR="00AD2DAF" w:rsidRPr="009F2777" w:rsidRDefault="00AD2DAF" w:rsidP="0002781C">
            <w:pPr>
              <w:pStyle w:val="TableParagraph"/>
              <w:kinsoku w:val="0"/>
              <w:overflowPunct w:val="0"/>
              <w:spacing w:beforeLines="60" w:before="144" w:after="60"/>
              <w:jc w:val="center"/>
              <w:rPr>
                <w:rFonts w:ascii="Arial" w:hAnsi="Arial" w:cs="Arial"/>
                <w:color w:val="FFFFFF"/>
                <w:w w:val="105"/>
                <w:sz w:val="18"/>
                <w:szCs w:val="18"/>
              </w:rPr>
            </w:pPr>
            <w:r w:rsidRPr="009F2777">
              <w:rPr>
                <w:rFonts w:ascii="Arial" w:hAnsi="Arial" w:cs="Arial"/>
                <w:color w:val="FFFFFF"/>
                <w:w w:val="105"/>
                <w:sz w:val="18"/>
                <w:szCs w:val="18"/>
              </w:rPr>
              <w:t>Compliant at consultation</w:t>
            </w:r>
          </w:p>
        </w:tc>
        <w:tc>
          <w:tcPr>
            <w:tcW w:w="1104" w:type="dxa"/>
            <w:shd w:val="clear" w:color="auto" w:fill="F4973F"/>
            <w:vAlign w:val="center"/>
          </w:tcPr>
          <w:p w14:paraId="6EE4EF1A" w14:textId="77777777" w:rsidR="00AD2DAF" w:rsidRPr="009F2777" w:rsidRDefault="00AD2DAF" w:rsidP="0002781C">
            <w:pPr>
              <w:pStyle w:val="TableParagraph"/>
              <w:kinsoku w:val="0"/>
              <w:overflowPunct w:val="0"/>
              <w:spacing w:beforeLines="60" w:before="144" w:after="60"/>
              <w:jc w:val="center"/>
              <w:rPr>
                <w:sz w:val="18"/>
                <w:szCs w:val="18"/>
              </w:rPr>
            </w:pPr>
            <w:r w:rsidRPr="009F2777">
              <w:rPr>
                <w:rFonts w:ascii="Arial" w:hAnsi="Arial" w:cs="Arial"/>
                <w:color w:val="FFFFFF"/>
                <w:w w:val="105"/>
                <w:sz w:val="18"/>
                <w:szCs w:val="18"/>
              </w:rPr>
              <w:t>Compliant at decision</w:t>
            </w:r>
          </w:p>
        </w:tc>
        <w:tc>
          <w:tcPr>
            <w:tcW w:w="1105" w:type="dxa"/>
            <w:shd w:val="clear" w:color="auto" w:fill="F4973F"/>
            <w:vAlign w:val="center"/>
          </w:tcPr>
          <w:p w14:paraId="5FB5B979" w14:textId="77777777" w:rsidR="00AD2DAF" w:rsidRPr="009F2777" w:rsidRDefault="00AD2DAF" w:rsidP="0002781C">
            <w:pPr>
              <w:pStyle w:val="TableParagraph"/>
              <w:kinsoku w:val="0"/>
              <w:overflowPunct w:val="0"/>
              <w:spacing w:beforeLines="60" w:before="144" w:after="60"/>
              <w:jc w:val="center"/>
              <w:rPr>
                <w:rFonts w:ascii="Arial" w:hAnsi="Arial" w:cs="Arial"/>
                <w:color w:val="FFFFFF"/>
                <w:w w:val="105"/>
                <w:sz w:val="18"/>
                <w:szCs w:val="18"/>
              </w:rPr>
            </w:pPr>
            <w:r w:rsidRPr="009F2777">
              <w:rPr>
                <w:rFonts w:ascii="Arial" w:hAnsi="Arial" w:cs="Arial"/>
                <w:color w:val="FFFFFF"/>
                <w:w w:val="105"/>
                <w:sz w:val="18"/>
                <w:szCs w:val="18"/>
              </w:rPr>
              <w:t>Final RIS published</w:t>
            </w:r>
          </w:p>
        </w:tc>
      </w:tr>
      <w:tr w:rsidR="00AD2DAF" w:rsidRPr="003A33CE" w14:paraId="74FB92F6" w14:textId="77777777" w:rsidTr="0002781C">
        <w:trPr>
          <w:trHeight w:val="510"/>
          <w:tblHeader/>
        </w:trPr>
        <w:tc>
          <w:tcPr>
            <w:tcW w:w="5104" w:type="dxa"/>
            <w:shd w:val="clear" w:color="auto" w:fill="auto"/>
            <w:vAlign w:val="center"/>
          </w:tcPr>
          <w:p w14:paraId="65704E17" w14:textId="770EDC85" w:rsidR="00AD2DAF" w:rsidRPr="003A33CE" w:rsidRDefault="00AD2DAF" w:rsidP="00433846">
            <w:pPr>
              <w:pStyle w:val="TableParagraph"/>
              <w:keepNext/>
              <w:keepLines/>
              <w:kinsoku w:val="0"/>
              <w:overflowPunct w:val="0"/>
              <w:spacing w:beforeLines="60" w:before="144" w:after="120"/>
              <w:ind w:left="79"/>
              <w:rPr>
                <w:rFonts w:ascii="Arial" w:hAnsi="Arial" w:cs="Arial"/>
                <w:b/>
                <w:w w:val="105"/>
                <w:sz w:val="18"/>
                <w:szCs w:val="18"/>
              </w:rPr>
            </w:pPr>
            <w:r w:rsidRPr="003A33CE">
              <w:rPr>
                <w:rFonts w:ascii="Arial" w:hAnsi="Arial" w:cs="Arial"/>
                <w:b/>
                <w:spacing w:val="-3"/>
                <w:sz w:val="18"/>
                <w:szCs w:val="18"/>
              </w:rPr>
              <w:t>Energy Efficiency for Swimming Pool Pumps</w:t>
            </w:r>
          </w:p>
        </w:tc>
        <w:tc>
          <w:tcPr>
            <w:tcW w:w="1417" w:type="dxa"/>
            <w:shd w:val="clear" w:color="auto" w:fill="auto"/>
            <w:vAlign w:val="center"/>
          </w:tcPr>
          <w:p w14:paraId="2070AC3D" w14:textId="680ACFCC" w:rsidR="00AD2DAF" w:rsidRPr="003A33CE" w:rsidRDefault="00AD2DAF" w:rsidP="00AD2DAF">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19 Dec 18</w:t>
            </w:r>
          </w:p>
        </w:tc>
        <w:tc>
          <w:tcPr>
            <w:tcW w:w="1249" w:type="dxa"/>
            <w:shd w:val="clear" w:color="auto" w:fill="auto"/>
            <w:vAlign w:val="center"/>
          </w:tcPr>
          <w:p w14:paraId="1D8C5882" w14:textId="77777777" w:rsidR="00AD2DAF" w:rsidRPr="003A33CE" w:rsidRDefault="00AD2DAF" w:rsidP="0002781C">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Yes</w:t>
            </w:r>
          </w:p>
        </w:tc>
        <w:tc>
          <w:tcPr>
            <w:tcW w:w="1104" w:type="dxa"/>
            <w:shd w:val="clear" w:color="auto" w:fill="auto"/>
            <w:vAlign w:val="center"/>
          </w:tcPr>
          <w:p w14:paraId="2C2C3D7B" w14:textId="77777777" w:rsidR="00AD2DAF" w:rsidRPr="003A33CE" w:rsidRDefault="00AD2DAF" w:rsidP="0002781C">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Yes</w:t>
            </w:r>
          </w:p>
        </w:tc>
        <w:tc>
          <w:tcPr>
            <w:tcW w:w="1105" w:type="dxa"/>
            <w:shd w:val="clear" w:color="auto" w:fill="auto"/>
            <w:vAlign w:val="center"/>
          </w:tcPr>
          <w:p w14:paraId="383F71C0" w14:textId="77C3E7D6" w:rsidR="00AD2DAF" w:rsidRPr="003A33CE" w:rsidRDefault="00AD2DAF" w:rsidP="0002781C">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18 Jan 19</w:t>
            </w:r>
          </w:p>
        </w:tc>
      </w:tr>
    </w:tbl>
    <w:p w14:paraId="097B875A" w14:textId="21F606C3" w:rsidR="00CD55B4" w:rsidRPr="00433846" w:rsidRDefault="001D5CEA" w:rsidP="0032777B">
      <w:pPr>
        <w:pStyle w:val="TableParagraph"/>
        <w:keepNext/>
        <w:keepLines/>
        <w:kinsoku w:val="0"/>
        <w:overflowPunct w:val="0"/>
        <w:spacing w:after="120"/>
        <w:ind w:left="142"/>
        <w:rPr>
          <w:rFonts w:ascii="Arial" w:hAnsi="Arial" w:cs="Arial"/>
          <w:spacing w:val="-3"/>
          <w:sz w:val="18"/>
          <w:szCs w:val="18"/>
        </w:rPr>
      </w:pPr>
      <w:r>
        <w:rPr>
          <w:rFonts w:ascii="Arial" w:hAnsi="Arial" w:cs="Arial"/>
          <w:spacing w:val="-3"/>
          <w:sz w:val="18"/>
          <w:szCs w:val="18"/>
        </w:rPr>
        <w:t xml:space="preserve">The </w:t>
      </w:r>
      <w:r w:rsidR="00AD2DAF" w:rsidRPr="00433846">
        <w:rPr>
          <w:rFonts w:ascii="Arial" w:hAnsi="Arial" w:cs="Arial"/>
          <w:spacing w:val="-3"/>
          <w:sz w:val="18"/>
          <w:szCs w:val="18"/>
        </w:rPr>
        <w:t xml:space="preserve">COAG </w:t>
      </w:r>
      <w:r>
        <w:rPr>
          <w:rFonts w:ascii="Arial" w:hAnsi="Arial" w:cs="Arial"/>
          <w:spacing w:val="-3"/>
          <w:sz w:val="18"/>
          <w:szCs w:val="18"/>
        </w:rPr>
        <w:t xml:space="preserve">Energy Council </w:t>
      </w:r>
      <w:r w:rsidR="00AD2DAF" w:rsidRPr="00433846">
        <w:rPr>
          <w:rFonts w:ascii="Arial" w:hAnsi="Arial" w:cs="Arial"/>
          <w:spacing w:val="-3"/>
          <w:sz w:val="18"/>
          <w:szCs w:val="18"/>
        </w:rPr>
        <w:t xml:space="preserve">agreed, based on modelled benefits, that </w:t>
      </w:r>
      <w:r w:rsidR="002F2F55">
        <w:rPr>
          <w:rFonts w:ascii="Arial" w:hAnsi="Arial" w:cs="Arial"/>
          <w:spacing w:val="-3"/>
          <w:sz w:val="18"/>
          <w:szCs w:val="18"/>
        </w:rPr>
        <w:t>Minimum Energy Performance S</w:t>
      </w:r>
      <w:r w:rsidR="00AD2DAF" w:rsidRPr="00433846">
        <w:rPr>
          <w:rFonts w:ascii="Arial" w:hAnsi="Arial" w:cs="Arial"/>
          <w:spacing w:val="-3"/>
          <w:sz w:val="18"/>
          <w:szCs w:val="18"/>
        </w:rPr>
        <w:t>tandards (MEPS) and mandatory labelling would be introduced for swimming pool pumps.</w:t>
      </w:r>
    </w:p>
    <w:tbl>
      <w:tblPr>
        <w:tblW w:w="9979" w:type="dxa"/>
        <w:tblInd w:w="-142" w:type="dxa"/>
        <w:tblLayout w:type="fixed"/>
        <w:tblCellMar>
          <w:left w:w="0" w:type="dxa"/>
          <w:right w:w="0" w:type="dxa"/>
        </w:tblCellMar>
        <w:tblLook w:val="0000" w:firstRow="0" w:lastRow="0" w:firstColumn="0" w:lastColumn="0" w:noHBand="0" w:noVBand="0"/>
        <w:tblCaption w:val="Decorative alcohol fuelled devices"/>
        <w:tblDescription w:val="Decorative alcohol fuelled devices: Compliant at consultation, Compliant at decision, Final RIS published. Decision Date: 10 July 2017."/>
      </w:tblPr>
      <w:tblGrid>
        <w:gridCol w:w="5104"/>
        <w:gridCol w:w="1417"/>
        <w:gridCol w:w="1249"/>
        <w:gridCol w:w="1104"/>
        <w:gridCol w:w="1105"/>
      </w:tblGrid>
      <w:tr w:rsidR="00AD2DAF" w:rsidRPr="009F2777" w14:paraId="5707C276" w14:textId="77777777" w:rsidTr="0002781C">
        <w:trPr>
          <w:trHeight w:val="510"/>
          <w:tblHeader/>
        </w:trPr>
        <w:tc>
          <w:tcPr>
            <w:tcW w:w="5104" w:type="dxa"/>
            <w:shd w:val="clear" w:color="auto" w:fill="auto"/>
            <w:vAlign w:val="center"/>
          </w:tcPr>
          <w:p w14:paraId="637213D3" w14:textId="59CAD727" w:rsidR="00AD2DAF" w:rsidRPr="003A33CE" w:rsidRDefault="00AD2DAF" w:rsidP="00433846">
            <w:pPr>
              <w:pStyle w:val="TableParagraph"/>
              <w:keepNext/>
              <w:keepLines/>
              <w:kinsoku w:val="0"/>
              <w:overflowPunct w:val="0"/>
              <w:spacing w:beforeLines="60" w:before="144" w:after="120"/>
              <w:ind w:left="79"/>
              <w:rPr>
                <w:rFonts w:ascii="Arial" w:hAnsi="Arial" w:cs="Arial"/>
                <w:b/>
                <w:w w:val="105"/>
                <w:sz w:val="18"/>
                <w:szCs w:val="18"/>
              </w:rPr>
            </w:pPr>
            <w:r w:rsidRPr="003A33CE">
              <w:rPr>
                <w:rFonts w:ascii="Arial" w:hAnsi="Arial" w:cs="Arial"/>
                <w:b/>
                <w:spacing w:val="-3"/>
                <w:sz w:val="18"/>
                <w:szCs w:val="18"/>
              </w:rPr>
              <w:t>Retail</w:t>
            </w:r>
            <w:r w:rsidR="001D5CEA" w:rsidRPr="003A33CE">
              <w:rPr>
                <w:rFonts w:ascii="Arial" w:hAnsi="Arial" w:cs="Arial"/>
                <w:b/>
                <w:spacing w:val="-3"/>
                <w:sz w:val="18"/>
                <w:szCs w:val="18"/>
              </w:rPr>
              <w:t>er</w:t>
            </w:r>
            <w:r w:rsidRPr="003A33CE">
              <w:rPr>
                <w:rFonts w:ascii="Arial" w:hAnsi="Arial" w:cs="Arial"/>
                <w:b/>
                <w:spacing w:val="-3"/>
                <w:sz w:val="18"/>
                <w:szCs w:val="18"/>
              </w:rPr>
              <w:t xml:space="preserve"> Reliability Obligation</w:t>
            </w:r>
            <w:r w:rsidRPr="003A33CE">
              <w:rPr>
                <w:rFonts w:ascii="Arial" w:hAnsi="Arial" w:cs="Arial"/>
                <w:b/>
                <w:w w:val="105"/>
                <w:sz w:val="18"/>
                <w:szCs w:val="18"/>
              </w:rPr>
              <w:t xml:space="preserve">  </w:t>
            </w:r>
          </w:p>
        </w:tc>
        <w:tc>
          <w:tcPr>
            <w:tcW w:w="1417" w:type="dxa"/>
            <w:shd w:val="clear" w:color="auto" w:fill="auto"/>
            <w:vAlign w:val="center"/>
          </w:tcPr>
          <w:p w14:paraId="2A6F6D48" w14:textId="67576887" w:rsidR="00AD2DAF" w:rsidRPr="003A33CE" w:rsidRDefault="00AD2DAF" w:rsidP="0002781C">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19 Dec 18</w:t>
            </w:r>
          </w:p>
        </w:tc>
        <w:tc>
          <w:tcPr>
            <w:tcW w:w="1249" w:type="dxa"/>
            <w:shd w:val="clear" w:color="auto" w:fill="auto"/>
            <w:vAlign w:val="center"/>
          </w:tcPr>
          <w:p w14:paraId="0FC01EA7" w14:textId="77777777" w:rsidR="00AD2DAF" w:rsidRPr="003A33CE" w:rsidRDefault="00AD2DAF" w:rsidP="0002781C">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Yes</w:t>
            </w:r>
          </w:p>
        </w:tc>
        <w:tc>
          <w:tcPr>
            <w:tcW w:w="1104" w:type="dxa"/>
            <w:shd w:val="clear" w:color="auto" w:fill="auto"/>
            <w:vAlign w:val="center"/>
          </w:tcPr>
          <w:p w14:paraId="5864A8AF" w14:textId="77777777" w:rsidR="00AD2DAF" w:rsidRPr="003A33CE" w:rsidRDefault="00AD2DAF" w:rsidP="0002781C">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Yes</w:t>
            </w:r>
          </w:p>
        </w:tc>
        <w:tc>
          <w:tcPr>
            <w:tcW w:w="1105" w:type="dxa"/>
            <w:shd w:val="clear" w:color="auto" w:fill="auto"/>
            <w:vAlign w:val="center"/>
          </w:tcPr>
          <w:p w14:paraId="28A82E5F" w14:textId="45A6A155" w:rsidR="00AD2DAF" w:rsidRPr="003A33CE" w:rsidRDefault="00AD2DAF" w:rsidP="00AD2DAF">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7 Feb 19</w:t>
            </w:r>
          </w:p>
        </w:tc>
      </w:tr>
    </w:tbl>
    <w:p w14:paraId="2C41AFBB" w14:textId="5BC6B3D6" w:rsidR="004D39C7" w:rsidRDefault="00AD2DAF" w:rsidP="001D5CEA">
      <w:pPr>
        <w:pStyle w:val="TableParagraph"/>
        <w:keepNext/>
        <w:keepLines/>
        <w:kinsoku w:val="0"/>
        <w:overflowPunct w:val="0"/>
        <w:spacing w:after="120"/>
        <w:ind w:left="142"/>
        <w:rPr>
          <w:rFonts w:ascii="Arial" w:hAnsi="Arial" w:cs="Arial"/>
          <w:spacing w:val="-3"/>
          <w:sz w:val="18"/>
          <w:szCs w:val="18"/>
        </w:rPr>
      </w:pPr>
      <w:r w:rsidRPr="00433846">
        <w:rPr>
          <w:rFonts w:ascii="Arial" w:hAnsi="Arial" w:cs="Arial"/>
          <w:spacing w:val="-3"/>
          <w:sz w:val="18"/>
          <w:szCs w:val="18"/>
        </w:rPr>
        <w:t>The COAG Energy Council agreed to implement the Retailer Reliability Obligation (RRO) for the N</w:t>
      </w:r>
      <w:r w:rsidR="002F2F55">
        <w:rPr>
          <w:rFonts w:ascii="Arial" w:hAnsi="Arial" w:cs="Arial"/>
          <w:spacing w:val="-3"/>
          <w:sz w:val="18"/>
          <w:szCs w:val="18"/>
        </w:rPr>
        <w:t>ational Electricity Market</w:t>
      </w:r>
      <w:r w:rsidRPr="00433846">
        <w:rPr>
          <w:rFonts w:ascii="Arial" w:hAnsi="Arial" w:cs="Arial"/>
          <w:spacing w:val="-3"/>
          <w:sz w:val="18"/>
          <w:szCs w:val="18"/>
        </w:rPr>
        <w:t xml:space="preserve">. The RRO builds on existing spot and financial market arrangements in the electricity market to facilitate investment in </w:t>
      </w:r>
      <w:proofErr w:type="spellStart"/>
      <w:r w:rsidRPr="00433846">
        <w:rPr>
          <w:rFonts w:ascii="Arial" w:hAnsi="Arial" w:cs="Arial"/>
          <w:spacing w:val="-3"/>
          <w:sz w:val="18"/>
          <w:szCs w:val="18"/>
        </w:rPr>
        <w:t>dispatchable</w:t>
      </w:r>
      <w:proofErr w:type="spellEnd"/>
      <w:r w:rsidRPr="00433846">
        <w:rPr>
          <w:rFonts w:ascii="Arial" w:hAnsi="Arial" w:cs="Arial"/>
          <w:spacing w:val="-3"/>
          <w:sz w:val="18"/>
          <w:szCs w:val="18"/>
        </w:rPr>
        <w:t xml:space="preserve"> capacity.</w:t>
      </w:r>
    </w:p>
    <w:tbl>
      <w:tblPr>
        <w:tblW w:w="9979" w:type="dxa"/>
        <w:tblInd w:w="-142" w:type="dxa"/>
        <w:tblLayout w:type="fixed"/>
        <w:tblCellMar>
          <w:left w:w="0" w:type="dxa"/>
          <w:right w:w="0" w:type="dxa"/>
        </w:tblCellMar>
        <w:tblLook w:val="0000" w:firstRow="0" w:lastRow="0" w:firstColumn="0" w:lastColumn="0" w:noHBand="0" w:noVBand="0"/>
        <w:tblCaption w:val="Decorative alcohol fuelled devices"/>
        <w:tblDescription w:val="Decorative alcohol fuelled devices: Compliant at consultation, Compliant at decision, Final RIS published. Decision Date: 10 July 2017."/>
      </w:tblPr>
      <w:tblGrid>
        <w:gridCol w:w="5104"/>
        <w:gridCol w:w="1417"/>
        <w:gridCol w:w="1249"/>
        <w:gridCol w:w="1104"/>
        <w:gridCol w:w="1105"/>
      </w:tblGrid>
      <w:tr w:rsidR="0032777B" w:rsidRPr="003A33CE" w14:paraId="17E1AE3C" w14:textId="77777777" w:rsidTr="00B22D09">
        <w:trPr>
          <w:trHeight w:val="510"/>
          <w:tblHeader/>
        </w:trPr>
        <w:tc>
          <w:tcPr>
            <w:tcW w:w="5104" w:type="dxa"/>
            <w:shd w:val="clear" w:color="auto" w:fill="auto"/>
            <w:vAlign w:val="center"/>
          </w:tcPr>
          <w:p w14:paraId="3076B581" w14:textId="77777777" w:rsidR="0032777B" w:rsidRPr="003A33CE" w:rsidRDefault="0032777B" w:rsidP="00B22D09">
            <w:pPr>
              <w:pStyle w:val="TableParagraph"/>
              <w:keepNext/>
              <w:keepLines/>
              <w:kinsoku w:val="0"/>
              <w:overflowPunct w:val="0"/>
              <w:spacing w:beforeLines="60" w:before="144" w:after="120"/>
              <w:ind w:left="79"/>
              <w:rPr>
                <w:rFonts w:cs="Arial"/>
                <w:b/>
                <w:w w:val="105"/>
                <w:sz w:val="18"/>
                <w:szCs w:val="18"/>
                <w:highlight w:val="yellow"/>
              </w:rPr>
            </w:pPr>
            <w:r w:rsidRPr="003A33CE">
              <w:rPr>
                <w:rFonts w:ascii="Arial" w:hAnsi="Arial" w:cs="Arial"/>
                <w:b/>
                <w:spacing w:val="-3"/>
                <w:sz w:val="18"/>
                <w:szCs w:val="18"/>
              </w:rPr>
              <w:t>Changes to Minimum Energy Performance Standards for Air Conditioners</w:t>
            </w:r>
            <w:r w:rsidRPr="003A33CE">
              <w:rPr>
                <w:rFonts w:cs="Arial"/>
                <w:b/>
                <w:w w:val="105"/>
                <w:sz w:val="18"/>
                <w:szCs w:val="18"/>
                <w:highlight w:val="yellow"/>
              </w:rPr>
              <w:t xml:space="preserve">   </w:t>
            </w:r>
          </w:p>
        </w:tc>
        <w:tc>
          <w:tcPr>
            <w:tcW w:w="1417" w:type="dxa"/>
            <w:shd w:val="clear" w:color="auto" w:fill="auto"/>
            <w:vAlign w:val="center"/>
          </w:tcPr>
          <w:p w14:paraId="551DF34C" w14:textId="77777777" w:rsidR="0032777B" w:rsidRPr="003A33CE" w:rsidRDefault="0032777B" w:rsidP="00B22D09">
            <w:pPr>
              <w:widowControl w:val="0"/>
              <w:kinsoku w:val="0"/>
              <w:overflowPunct w:val="0"/>
              <w:autoSpaceDE w:val="0"/>
              <w:autoSpaceDN w:val="0"/>
              <w:adjustRightInd w:val="0"/>
              <w:spacing w:beforeLines="60" w:before="144" w:after="60" w:line="240" w:lineRule="auto"/>
              <w:jc w:val="center"/>
              <w:rPr>
                <w:rFonts w:eastAsia="MS Mincho" w:cs="Arial"/>
                <w:b/>
                <w:w w:val="105"/>
                <w:sz w:val="18"/>
                <w:szCs w:val="18"/>
                <w:lang w:eastAsia="en-AU"/>
              </w:rPr>
            </w:pPr>
            <w:r w:rsidRPr="003A33CE">
              <w:rPr>
                <w:rFonts w:eastAsia="MS Mincho" w:cs="Arial"/>
                <w:b/>
                <w:w w:val="105"/>
                <w:sz w:val="18"/>
                <w:szCs w:val="18"/>
                <w:lang w:eastAsia="en-AU"/>
              </w:rPr>
              <w:t>19 Dec 18</w:t>
            </w:r>
          </w:p>
        </w:tc>
        <w:tc>
          <w:tcPr>
            <w:tcW w:w="1249" w:type="dxa"/>
            <w:shd w:val="clear" w:color="auto" w:fill="auto"/>
            <w:vAlign w:val="center"/>
          </w:tcPr>
          <w:p w14:paraId="790B97DA" w14:textId="77777777" w:rsidR="0032777B" w:rsidRPr="003A33CE" w:rsidRDefault="0032777B" w:rsidP="00B22D09">
            <w:pPr>
              <w:widowControl w:val="0"/>
              <w:kinsoku w:val="0"/>
              <w:overflowPunct w:val="0"/>
              <w:autoSpaceDE w:val="0"/>
              <w:autoSpaceDN w:val="0"/>
              <w:adjustRightInd w:val="0"/>
              <w:spacing w:beforeLines="60" w:before="144" w:after="60" w:line="240" w:lineRule="auto"/>
              <w:jc w:val="center"/>
              <w:rPr>
                <w:rFonts w:eastAsia="MS Mincho" w:cs="Arial"/>
                <w:b/>
                <w:w w:val="105"/>
                <w:sz w:val="18"/>
                <w:szCs w:val="18"/>
                <w:lang w:eastAsia="en-AU"/>
              </w:rPr>
            </w:pPr>
            <w:r w:rsidRPr="003A33CE">
              <w:rPr>
                <w:rFonts w:eastAsia="MS Mincho" w:cs="Arial"/>
                <w:b/>
                <w:w w:val="105"/>
                <w:sz w:val="18"/>
                <w:szCs w:val="18"/>
                <w:lang w:eastAsia="en-AU"/>
              </w:rPr>
              <w:t>Yes</w:t>
            </w:r>
          </w:p>
        </w:tc>
        <w:tc>
          <w:tcPr>
            <w:tcW w:w="1104" w:type="dxa"/>
            <w:shd w:val="clear" w:color="auto" w:fill="auto"/>
            <w:vAlign w:val="center"/>
          </w:tcPr>
          <w:p w14:paraId="4CCD7FF4" w14:textId="77777777" w:rsidR="0032777B" w:rsidRPr="003A33CE" w:rsidRDefault="0032777B" w:rsidP="00B22D09">
            <w:pPr>
              <w:widowControl w:val="0"/>
              <w:kinsoku w:val="0"/>
              <w:overflowPunct w:val="0"/>
              <w:autoSpaceDE w:val="0"/>
              <w:autoSpaceDN w:val="0"/>
              <w:adjustRightInd w:val="0"/>
              <w:spacing w:beforeLines="60" w:before="144" w:after="60" w:line="240" w:lineRule="auto"/>
              <w:jc w:val="center"/>
              <w:rPr>
                <w:rFonts w:eastAsia="MS Mincho" w:cs="Arial"/>
                <w:b/>
                <w:w w:val="105"/>
                <w:sz w:val="18"/>
                <w:szCs w:val="18"/>
                <w:lang w:eastAsia="en-AU"/>
              </w:rPr>
            </w:pPr>
            <w:r w:rsidRPr="003A33CE">
              <w:rPr>
                <w:rFonts w:eastAsia="MS Mincho" w:cs="Arial"/>
                <w:b/>
                <w:w w:val="105"/>
                <w:sz w:val="18"/>
                <w:szCs w:val="18"/>
                <w:lang w:eastAsia="en-AU"/>
              </w:rPr>
              <w:t>Yes</w:t>
            </w:r>
          </w:p>
        </w:tc>
        <w:tc>
          <w:tcPr>
            <w:tcW w:w="1105" w:type="dxa"/>
            <w:shd w:val="clear" w:color="auto" w:fill="auto"/>
            <w:vAlign w:val="center"/>
          </w:tcPr>
          <w:p w14:paraId="02B293ED" w14:textId="77777777" w:rsidR="0032777B" w:rsidRPr="003A33CE" w:rsidRDefault="0032777B" w:rsidP="00B22D09">
            <w:pPr>
              <w:widowControl w:val="0"/>
              <w:kinsoku w:val="0"/>
              <w:overflowPunct w:val="0"/>
              <w:autoSpaceDE w:val="0"/>
              <w:autoSpaceDN w:val="0"/>
              <w:adjustRightInd w:val="0"/>
              <w:spacing w:beforeLines="60" w:before="144" w:after="60" w:line="240" w:lineRule="auto"/>
              <w:jc w:val="center"/>
              <w:rPr>
                <w:rFonts w:eastAsia="MS Mincho" w:cs="Arial"/>
                <w:b/>
                <w:w w:val="105"/>
                <w:sz w:val="18"/>
                <w:szCs w:val="18"/>
                <w:lang w:eastAsia="en-AU"/>
              </w:rPr>
            </w:pPr>
            <w:r w:rsidRPr="003A33CE">
              <w:rPr>
                <w:rFonts w:eastAsia="MS Mincho" w:cs="Arial"/>
                <w:b/>
                <w:w w:val="105"/>
                <w:sz w:val="18"/>
                <w:szCs w:val="18"/>
                <w:lang w:eastAsia="en-AU"/>
              </w:rPr>
              <w:t>3 Jun 19</w:t>
            </w:r>
          </w:p>
        </w:tc>
      </w:tr>
    </w:tbl>
    <w:p w14:paraId="5B8BD299" w14:textId="47E6040C" w:rsidR="0032777B" w:rsidRPr="001D5CEA" w:rsidRDefault="0032777B" w:rsidP="001D5CEA">
      <w:pPr>
        <w:pStyle w:val="TableParagraph"/>
        <w:keepNext/>
        <w:keepLines/>
        <w:kinsoku w:val="0"/>
        <w:overflowPunct w:val="0"/>
        <w:spacing w:after="120"/>
        <w:ind w:left="142"/>
        <w:rPr>
          <w:rFonts w:ascii="Arial" w:hAnsi="Arial" w:cs="Arial"/>
          <w:spacing w:val="-3"/>
          <w:sz w:val="18"/>
          <w:szCs w:val="18"/>
        </w:rPr>
      </w:pPr>
      <w:r w:rsidRPr="0032777B">
        <w:rPr>
          <w:rFonts w:ascii="Arial" w:hAnsi="Arial" w:cs="Arial"/>
          <w:spacing w:val="-3"/>
          <w:sz w:val="18"/>
          <w:szCs w:val="18"/>
        </w:rPr>
        <w:t>The COAG Energy Council agreed to more stringent Minimum Energy Performance Standards (MEPS) for air conditioners. This includes applying MEPS to single duct portable air conditioners, increasing MEPS for air conditioners with a capacity greater than 65 kW, reducing MEPS for double duct portable air conditioners and adopting the Seasonal Energy Efficiency Ratio (SEER) standard for rating air conditioner energy efficiency on the energy rating label.</w:t>
      </w:r>
    </w:p>
    <w:p w14:paraId="6FF038F6" w14:textId="77777777" w:rsidR="00C8725F" w:rsidRDefault="00C8725F" w:rsidP="00C8725F">
      <w:pPr>
        <w:pStyle w:val="Heading3"/>
      </w:pPr>
      <w:bookmarkStart w:id="321" w:name="_Toc20384872"/>
      <w:r>
        <w:t>Department of Social Services</w:t>
      </w:r>
      <w:bookmarkEnd w:id="321"/>
    </w:p>
    <w:tbl>
      <w:tblPr>
        <w:tblW w:w="9979" w:type="dxa"/>
        <w:tblInd w:w="-142" w:type="dxa"/>
        <w:tblLayout w:type="fixed"/>
        <w:tblCellMar>
          <w:left w:w="0" w:type="dxa"/>
          <w:right w:w="0" w:type="dxa"/>
        </w:tblCellMar>
        <w:tblLook w:val="0000" w:firstRow="0" w:lastRow="0" w:firstColumn="0" w:lastColumn="0" w:noHBand="0" w:noVBand="0"/>
        <w:tblCaption w:val="Decorative alcohol fuelled devices"/>
        <w:tblDescription w:val="Decorative alcohol fuelled devices: Compliant at consultation, Compliant at decision, Final RIS published. Decision Date: 10 July 2017."/>
      </w:tblPr>
      <w:tblGrid>
        <w:gridCol w:w="5104"/>
        <w:gridCol w:w="1417"/>
        <w:gridCol w:w="1249"/>
        <w:gridCol w:w="1104"/>
        <w:gridCol w:w="1105"/>
      </w:tblGrid>
      <w:tr w:rsidR="00C8725F" w:rsidRPr="009F2777" w14:paraId="3C29A7EB" w14:textId="77777777" w:rsidTr="00AD2DAF">
        <w:trPr>
          <w:trHeight w:val="510"/>
          <w:tblHeader/>
        </w:trPr>
        <w:tc>
          <w:tcPr>
            <w:tcW w:w="5104" w:type="dxa"/>
            <w:shd w:val="clear" w:color="auto" w:fill="F4973F"/>
            <w:vAlign w:val="center"/>
          </w:tcPr>
          <w:p w14:paraId="6DC61965" w14:textId="77777777" w:rsidR="00C8725F" w:rsidRPr="009F2777" w:rsidRDefault="00C8725F" w:rsidP="0002781C">
            <w:pPr>
              <w:pStyle w:val="TableParagraph"/>
              <w:kinsoku w:val="0"/>
              <w:overflowPunct w:val="0"/>
              <w:spacing w:beforeLines="60" w:before="144" w:after="60"/>
              <w:ind w:left="85"/>
              <w:rPr>
                <w:sz w:val="18"/>
                <w:szCs w:val="18"/>
              </w:rPr>
            </w:pPr>
            <w:r w:rsidRPr="009F2777">
              <w:rPr>
                <w:rFonts w:ascii="Arial" w:hAnsi="Arial" w:cs="Arial"/>
                <w:color w:val="FFFFFF"/>
                <w:w w:val="105"/>
                <w:sz w:val="18"/>
                <w:szCs w:val="18"/>
              </w:rPr>
              <w:t>Proposal</w:t>
            </w:r>
          </w:p>
        </w:tc>
        <w:tc>
          <w:tcPr>
            <w:tcW w:w="1417" w:type="dxa"/>
            <w:shd w:val="clear" w:color="auto" w:fill="F4973F"/>
            <w:vAlign w:val="center"/>
          </w:tcPr>
          <w:p w14:paraId="63C92469" w14:textId="77777777" w:rsidR="00C8725F" w:rsidRPr="009F2777" w:rsidRDefault="00C8725F" w:rsidP="0002781C">
            <w:pPr>
              <w:pStyle w:val="TableParagraph"/>
              <w:kinsoku w:val="0"/>
              <w:overflowPunct w:val="0"/>
              <w:spacing w:beforeLines="60" w:before="144" w:after="60"/>
              <w:jc w:val="center"/>
              <w:rPr>
                <w:sz w:val="18"/>
                <w:szCs w:val="18"/>
              </w:rPr>
            </w:pPr>
            <w:r w:rsidRPr="009F2777">
              <w:rPr>
                <w:rFonts w:ascii="Arial" w:hAnsi="Arial" w:cs="Arial"/>
                <w:color w:val="FFFFFF"/>
                <w:w w:val="105"/>
                <w:sz w:val="18"/>
                <w:szCs w:val="18"/>
              </w:rPr>
              <w:t>Decision date</w:t>
            </w:r>
          </w:p>
        </w:tc>
        <w:tc>
          <w:tcPr>
            <w:tcW w:w="1249" w:type="dxa"/>
            <w:shd w:val="clear" w:color="auto" w:fill="F4973F"/>
            <w:vAlign w:val="center"/>
          </w:tcPr>
          <w:p w14:paraId="3686BF90" w14:textId="77777777" w:rsidR="00C8725F" w:rsidRPr="009F2777" w:rsidRDefault="00C8725F" w:rsidP="0002781C">
            <w:pPr>
              <w:pStyle w:val="TableParagraph"/>
              <w:kinsoku w:val="0"/>
              <w:overflowPunct w:val="0"/>
              <w:spacing w:beforeLines="60" w:before="144" w:after="60"/>
              <w:jc w:val="center"/>
              <w:rPr>
                <w:rFonts w:ascii="Arial" w:hAnsi="Arial" w:cs="Arial"/>
                <w:color w:val="FFFFFF"/>
                <w:w w:val="105"/>
                <w:sz w:val="18"/>
                <w:szCs w:val="18"/>
              </w:rPr>
            </w:pPr>
            <w:r w:rsidRPr="009F2777">
              <w:rPr>
                <w:rFonts w:ascii="Arial" w:hAnsi="Arial" w:cs="Arial"/>
                <w:color w:val="FFFFFF"/>
                <w:w w:val="105"/>
                <w:sz w:val="18"/>
                <w:szCs w:val="18"/>
              </w:rPr>
              <w:t>Compliant at consultation</w:t>
            </w:r>
          </w:p>
        </w:tc>
        <w:tc>
          <w:tcPr>
            <w:tcW w:w="1104" w:type="dxa"/>
            <w:shd w:val="clear" w:color="auto" w:fill="F4973F"/>
            <w:vAlign w:val="center"/>
          </w:tcPr>
          <w:p w14:paraId="6A6FD4F8" w14:textId="77777777" w:rsidR="00C8725F" w:rsidRPr="009F2777" w:rsidRDefault="00C8725F" w:rsidP="0002781C">
            <w:pPr>
              <w:pStyle w:val="TableParagraph"/>
              <w:kinsoku w:val="0"/>
              <w:overflowPunct w:val="0"/>
              <w:spacing w:beforeLines="60" w:before="144" w:after="60"/>
              <w:jc w:val="center"/>
              <w:rPr>
                <w:sz w:val="18"/>
                <w:szCs w:val="18"/>
              </w:rPr>
            </w:pPr>
            <w:r w:rsidRPr="009F2777">
              <w:rPr>
                <w:rFonts w:ascii="Arial" w:hAnsi="Arial" w:cs="Arial"/>
                <w:color w:val="FFFFFF"/>
                <w:w w:val="105"/>
                <w:sz w:val="18"/>
                <w:szCs w:val="18"/>
              </w:rPr>
              <w:t>Compliant at decision</w:t>
            </w:r>
          </w:p>
        </w:tc>
        <w:tc>
          <w:tcPr>
            <w:tcW w:w="1105" w:type="dxa"/>
            <w:shd w:val="clear" w:color="auto" w:fill="F4973F"/>
            <w:vAlign w:val="center"/>
          </w:tcPr>
          <w:p w14:paraId="5F4A303E" w14:textId="77777777" w:rsidR="00C8725F" w:rsidRPr="009F2777" w:rsidRDefault="00C8725F" w:rsidP="0002781C">
            <w:pPr>
              <w:pStyle w:val="TableParagraph"/>
              <w:kinsoku w:val="0"/>
              <w:overflowPunct w:val="0"/>
              <w:spacing w:beforeLines="60" w:before="144" w:after="60"/>
              <w:jc w:val="center"/>
              <w:rPr>
                <w:rFonts w:ascii="Arial" w:hAnsi="Arial" w:cs="Arial"/>
                <w:color w:val="FFFFFF"/>
                <w:w w:val="105"/>
                <w:sz w:val="18"/>
                <w:szCs w:val="18"/>
              </w:rPr>
            </w:pPr>
            <w:r w:rsidRPr="009F2777">
              <w:rPr>
                <w:rFonts w:ascii="Arial" w:hAnsi="Arial" w:cs="Arial"/>
                <w:color w:val="FFFFFF"/>
                <w:w w:val="105"/>
                <w:sz w:val="18"/>
                <w:szCs w:val="18"/>
              </w:rPr>
              <w:t>Final RIS published</w:t>
            </w:r>
          </w:p>
        </w:tc>
      </w:tr>
      <w:tr w:rsidR="00C8725F" w:rsidRPr="009F2777" w14:paraId="00E70C08" w14:textId="77777777" w:rsidTr="0002781C">
        <w:trPr>
          <w:trHeight w:val="737"/>
          <w:tblHeader/>
        </w:trPr>
        <w:tc>
          <w:tcPr>
            <w:tcW w:w="5104" w:type="dxa"/>
            <w:shd w:val="clear" w:color="auto" w:fill="auto"/>
            <w:vAlign w:val="center"/>
          </w:tcPr>
          <w:p w14:paraId="251BC3B4" w14:textId="77777777" w:rsidR="00C8725F" w:rsidRPr="003A33CE" w:rsidRDefault="00C8725F" w:rsidP="00433846">
            <w:pPr>
              <w:pStyle w:val="TableParagraph"/>
              <w:keepNext/>
              <w:keepLines/>
              <w:kinsoku w:val="0"/>
              <w:overflowPunct w:val="0"/>
              <w:spacing w:beforeLines="60" w:before="144" w:after="120"/>
              <w:ind w:left="79"/>
              <w:rPr>
                <w:rFonts w:ascii="Arial" w:hAnsi="Arial" w:cs="Arial"/>
                <w:b/>
                <w:w w:val="105"/>
                <w:sz w:val="18"/>
                <w:szCs w:val="18"/>
              </w:rPr>
            </w:pPr>
            <w:r w:rsidRPr="003A33CE">
              <w:rPr>
                <w:rFonts w:ascii="Arial" w:hAnsi="Arial" w:cs="Arial"/>
                <w:b/>
                <w:spacing w:val="-3"/>
                <w:sz w:val="18"/>
                <w:szCs w:val="18"/>
              </w:rPr>
              <w:t>National Consumer Protection Framework for Online Wagering</w:t>
            </w:r>
          </w:p>
        </w:tc>
        <w:tc>
          <w:tcPr>
            <w:tcW w:w="1417" w:type="dxa"/>
            <w:shd w:val="clear" w:color="auto" w:fill="auto"/>
            <w:vAlign w:val="center"/>
          </w:tcPr>
          <w:p w14:paraId="352FA85C" w14:textId="77777777" w:rsidR="00C8725F" w:rsidRPr="003A33CE" w:rsidRDefault="00C8725F" w:rsidP="0002781C">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26 Nov 18</w:t>
            </w:r>
          </w:p>
        </w:tc>
        <w:tc>
          <w:tcPr>
            <w:tcW w:w="1249" w:type="dxa"/>
            <w:shd w:val="clear" w:color="auto" w:fill="auto"/>
            <w:vAlign w:val="center"/>
          </w:tcPr>
          <w:p w14:paraId="005A8E58" w14:textId="77777777" w:rsidR="00C8725F" w:rsidRPr="003A33CE" w:rsidRDefault="00C8725F" w:rsidP="0002781C">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Yes</w:t>
            </w:r>
          </w:p>
        </w:tc>
        <w:tc>
          <w:tcPr>
            <w:tcW w:w="1104" w:type="dxa"/>
            <w:shd w:val="clear" w:color="auto" w:fill="auto"/>
            <w:vAlign w:val="center"/>
          </w:tcPr>
          <w:p w14:paraId="2D136CEF" w14:textId="77777777" w:rsidR="00C8725F" w:rsidRPr="003A33CE" w:rsidRDefault="00C8725F" w:rsidP="0002781C">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Yes</w:t>
            </w:r>
          </w:p>
        </w:tc>
        <w:tc>
          <w:tcPr>
            <w:tcW w:w="1105" w:type="dxa"/>
            <w:shd w:val="clear" w:color="auto" w:fill="auto"/>
            <w:vAlign w:val="center"/>
          </w:tcPr>
          <w:p w14:paraId="5D46D1AF" w14:textId="77777777" w:rsidR="00C8725F" w:rsidRPr="003A33CE" w:rsidRDefault="00C8725F" w:rsidP="0002781C">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30 Nov 18</w:t>
            </w:r>
          </w:p>
        </w:tc>
      </w:tr>
    </w:tbl>
    <w:p w14:paraId="56EF7E4D" w14:textId="0CF78FCB" w:rsidR="00C8725F" w:rsidRPr="00433846" w:rsidRDefault="00C83BEF" w:rsidP="00433846">
      <w:pPr>
        <w:pStyle w:val="TableParagraph"/>
        <w:keepNext/>
        <w:keepLines/>
        <w:kinsoku w:val="0"/>
        <w:overflowPunct w:val="0"/>
        <w:spacing w:after="120"/>
        <w:ind w:left="142"/>
        <w:rPr>
          <w:rFonts w:ascii="Arial" w:hAnsi="Arial" w:cs="Arial"/>
          <w:spacing w:val="-3"/>
          <w:sz w:val="18"/>
          <w:szCs w:val="18"/>
        </w:rPr>
      </w:pPr>
      <w:r>
        <w:rPr>
          <w:rFonts w:ascii="Arial" w:hAnsi="Arial" w:cs="Arial"/>
          <w:spacing w:val="-3"/>
          <w:sz w:val="18"/>
          <w:szCs w:val="18"/>
        </w:rPr>
        <w:t>Commonwealth and all state and territory governments</w:t>
      </w:r>
      <w:r w:rsidR="00C8725F" w:rsidRPr="00433846">
        <w:rPr>
          <w:rFonts w:ascii="Arial" w:hAnsi="Arial" w:cs="Arial"/>
          <w:spacing w:val="-3"/>
          <w:sz w:val="18"/>
          <w:szCs w:val="18"/>
        </w:rPr>
        <w:t xml:space="preserve"> formally committed to the National Consumer Protection Framework (National Framework) for online wagering in Australia. The National Framework has been developed in response to the recommendations made in the 2015 Review of Illegal Offshore Wagering. The National Framework provides 10 consumer protection measures, which aim to reduce the harm that can be caused to individuals and their families from online wagering, from a voluntary opt-out pre-commitment system to a national multi operator </w:t>
      </w:r>
      <w:proofErr w:type="spellStart"/>
      <w:r w:rsidR="00C8725F" w:rsidRPr="00433846">
        <w:rPr>
          <w:rFonts w:ascii="Arial" w:hAnsi="Arial" w:cs="Arial"/>
          <w:spacing w:val="-3"/>
          <w:sz w:val="18"/>
          <w:szCs w:val="18"/>
        </w:rPr>
        <w:t>self exclusion</w:t>
      </w:r>
      <w:proofErr w:type="spellEnd"/>
      <w:r w:rsidR="00C8725F" w:rsidRPr="00433846">
        <w:rPr>
          <w:rFonts w:ascii="Arial" w:hAnsi="Arial" w:cs="Arial"/>
          <w:spacing w:val="-3"/>
          <w:sz w:val="18"/>
          <w:szCs w:val="18"/>
        </w:rPr>
        <w:t xml:space="preserve"> scheme.</w:t>
      </w:r>
    </w:p>
    <w:p w14:paraId="03E762A2" w14:textId="77777777" w:rsidR="00433846" w:rsidRPr="00433846" w:rsidRDefault="00433846" w:rsidP="00EC4176">
      <w:pPr>
        <w:pStyle w:val="Heading3"/>
      </w:pPr>
      <w:bookmarkStart w:id="322" w:name="_Toc19865989"/>
      <w:bookmarkStart w:id="323" w:name="_Toc19867107"/>
      <w:bookmarkStart w:id="324" w:name="_Toc20384873"/>
      <w:r w:rsidRPr="00433846">
        <w:t>Legislative and Governance Forum on Gene Technology</w:t>
      </w:r>
      <w:bookmarkEnd w:id="322"/>
      <w:bookmarkEnd w:id="323"/>
      <w:bookmarkEnd w:id="324"/>
      <w:r w:rsidRPr="00433846">
        <w:t xml:space="preserve"> </w:t>
      </w:r>
    </w:p>
    <w:tbl>
      <w:tblPr>
        <w:tblW w:w="9979" w:type="dxa"/>
        <w:tblInd w:w="-142" w:type="dxa"/>
        <w:tblLayout w:type="fixed"/>
        <w:tblCellMar>
          <w:left w:w="0" w:type="dxa"/>
          <w:right w:w="0" w:type="dxa"/>
        </w:tblCellMar>
        <w:tblLook w:val="0000" w:firstRow="0" w:lastRow="0" w:firstColumn="0" w:lastColumn="0" w:noHBand="0" w:noVBand="0"/>
        <w:tblCaption w:val="Decorative alcohol fuelled devices"/>
        <w:tblDescription w:val="Decorative alcohol fuelled devices: Compliant at consultation, Compliant at decision, Final RIS published. Decision Date: 10 July 2017."/>
      </w:tblPr>
      <w:tblGrid>
        <w:gridCol w:w="5104"/>
        <w:gridCol w:w="1417"/>
        <w:gridCol w:w="1249"/>
        <w:gridCol w:w="1104"/>
        <w:gridCol w:w="1105"/>
      </w:tblGrid>
      <w:tr w:rsidR="00433846" w:rsidRPr="00433846" w14:paraId="0449E104" w14:textId="77777777" w:rsidTr="00B22D09">
        <w:trPr>
          <w:trHeight w:val="510"/>
          <w:tblHeader/>
        </w:trPr>
        <w:tc>
          <w:tcPr>
            <w:tcW w:w="5104" w:type="dxa"/>
            <w:shd w:val="clear" w:color="auto" w:fill="F4973F"/>
            <w:vAlign w:val="center"/>
          </w:tcPr>
          <w:p w14:paraId="5EBF8A6F" w14:textId="77777777" w:rsidR="00433846" w:rsidRPr="00433846" w:rsidRDefault="00433846" w:rsidP="00433846">
            <w:pPr>
              <w:widowControl w:val="0"/>
              <w:kinsoku w:val="0"/>
              <w:overflowPunct w:val="0"/>
              <w:autoSpaceDE w:val="0"/>
              <w:autoSpaceDN w:val="0"/>
              <w:adjustRightInd w:val="0"/>
              <w:spacing w:beforeLines="60" w:before="144" w:after="60" w:line="240" w:lineRule="auto"/>
              <w:ind w:left="85"/>
              <w:rPr>
                <w:rFonts w:ascii="Times New Roman" w:eastAsia="MS Mincho" w:hAnsi="Times New Roman"/>
                <w:sz w:val="18"/>
                <w:szCs w:val="18"/>
                <w:lang w:eastAsia="en-AU"/>
              </w:rPr>
            </w:pPr>
            <w:r w:rsidRPr="00433846">
              <w:rPr>
                <w:rFonts w:eastAsia="MS Mincho" w:cs="Arial"/>
                <w:color w:val="FFFFFF"/>
                <w:w w:val="105"/>
                <w:sz w:val="18"/>
                <w:szCs w:val="18"/>
                <w:lang w:eastAsia="en-AU"/>
              </w:rPr>
              <w:t>Proposal</w:t>
            </w:r>
          </w:p>
        </w:tc>
        <w:tc>
          <w:tcPr>
            <w:tcW w:w="1417" w:type="dxa"/>
            <w:shd w:val="clear" w:color="auto" w:fill="F4973F"/>
            <w:vAlign w:val="center"/>
          </w:tcPr>
          <w:p w14:paraId="752EBD41" w14:textId="77777777" w:rsidR="00433846" w:rsidRPr="00433846" w:rsidRDefault="00433846" w:rsidP="00433846">
            <w:pPr>
              <w:widowControl w:val="0"/>
              <w:kinsoku w:val="0"/>
              <w:overflowPunct w:val="0"/>
              <w:autoSpaceDE w:val="0"/>
              <w:autoSpaceDN w:val="0"/>
              <w:adjustRightInd w:val="0"/>
              <w:spacing w:beforeLines="60" w:before="144" w:after="60" w:line="240" w:lineRule="auto"/>
              <w:jc w:val="center"/>
              <w:rPr>
                <w:rFonts w:ascii="Times New Roman" w:eastAsia="MS Mincho" w:hAnsi="Times New Roman"/>
                <w:sz w:val="18"/>
                <w:szCs w:val="18"/>
                <w:lang w:eastAsia="en-AU"/>
              </w:rPr>
            </w:pPr>
            <w:r w:rsidRPr="00433846">
              <w:rPr>
                <w:rFonts w:eastAsia="MS Mincho" w:cs="Arial"/>
                <w:color w:val="FFFFFF"/>
                <w:w w:val="105"/>
                <w:sz w:val="18"/>
                <w:szCs w:val="18"/>
                <w:lang w:eastAsia="en-AU"/>
              </w:rPr>
              <w:t>Decision date</w:t>
            </w:r>
          </w:p>
        </w:tc>
        <w:tc>
          <w:tcPr>
            <w:tcW w:w="1249" w:type="dxa"/>
            <w:shd w:val="clear" w:color="auto" w:fill="F4973F"/>
            <w:vAlign w:val="center"/>
          </w:tcPr>
          <w:p w14:paraId="1D1F6D43" w14:textId="77777777" w:rsidR="00433846" w:rsidRPr="00433846" w:rsidRDefault="00433846" w:rsidP="00433846">
            <w:pPr>
              <w:widowControl w:val="0"/>
              <w:kinsoku w:val="0"/>
              <w:overflowPunct w:val="0"/>
              <w:autoSpaceDE w:val="0"/>
              <w:autoSpaceDN w:val="0"/>
              <w:adjustRightInd w:val="0"/>
              <w:spacing w:beforeLines="60" w:before="144" w:after="60" w:line="240" w:lineRule="auto"/>
              <w:jc w:val="center"/>
              <w:rPr>
                <w:rFonts w:eastAsia="MS Mincho" w:cs="Arial"/>
                <w:color w:val="FFFFFF"/>
                <w:w w:val="105"/>
                <w:sz w:val="18"/>
                <w:szCs w:val="18"/>
                <w:lang w:eastAsia="en-AU"/>
              </w:rPr>
            </w:pPr>
            <w:r w:rsidRPr="00433846">
              <w:rPr>
                <w:rFonts w:eastAsia="MS Mincho" w:cs="Arial"/>
                <w:color w:val="FFFFFF"/>
                <w:w w:val="105"/>
                <w:sz w:val="18"/>
                <w:szCs w:val="18"/>
                <w:lang w:eastAsia="en-AU"/>
              </w:rPr>
              <w:t>Compliant at consultation</w:t>
            </w:r>
          </w:p>
        </w:tc>
        <w:tc>
          <w:tcPr>
            <w:tcW w:w="1104" w:type="dxa"/>
            <w:shd w:val="clear" w:color="auto" w:fill="F4973F"/>
            <w:vAlign w:val="center"/>
          </w:tcPr>
          <w:p w14:paraId="59AF668D" w14:textId="77777777" w:rsidR="00433846" w:rsidRPr="00433846" w:rsidRDefault="00433846" w:rsidP="00433846">
            <w:pPr>
              <w:widowControl w:val="0"/>
              <w:kinsoku w:val="0"/>
              <w:overflowPunct w:val="0"/>
              <w:autoSpaceDE w:val="0"/>
              <w:autoSpaceDN w:val="0"/>
              <w:adjustRightInd w:val="0"/>
              <w:spacing w:beforeLines="60" w:before="144" w:after="60" w:line="240" w:lineRule="auto"/>
              <w:jc w:val="center"/>
              <w:rPr>
                <w:rFonts w:ascii="Times New Roman" w:eastAsia="MS Mincho" w:hAnsi="Times New Roman"/>
                <w:sz w:val="18"/>
                <w:szCs w:val="18"/>
                <w:lang w:eastAsia="en-AU"/>
              </w:rPr>
            </w:pPr>
            <w:r w:rsidRPr="00433846">
              <w:rPr>
                <w:rFonts w:eastAsia="MS Mincho" w:cs="Arial"/>
                <w:color w:val="FFFFFF"/>
                <w:w w:val="105"/>
                <w:sz w:val="18"/>
                <w:szCs w:val="18"/>
                <w:lang w:eastAsia="en-AU"/>
              </w:rPr>
              <w:t>Compliant at decision</w:t>
            </w:r>
          </w:p>
        </w:tc>
        <w:tc>
          <w:tcPr>
            <w:tcW w:w="1105" w:type="dxa"/>
            <w:shd w:val="clear" w:color="auto" w:fill="F4973F"/>
            <w:vAlign w:val="center"/>
          </w:tcPr>
          <w:p w14:paraId="38FE0671" w14:textId="77777777" w:rsidR="00433846" w:rsidRPr="00433846" w:rsidRDefault="00433846" w:rsidP="00433846">
            <w:pPr>
              <w:widowControl w:val="0"/>
              <w:kinsoku w:val="0"/>
              <w:overflowPunct w:val="0"/>
              <w:autoSpaceDE w:val="0"/>
              <w:autoSpaceDN w:val="0"/>
              <w:adjustRightInd w:val="0"/>
              <w:spacing w:beforeLines="60" w:before="144" w:after="60" w:line="240" w:lineRule="auto"/>
              <w:jc w:val="center"/>
              <w:rPr>
                <w:rFonts w:eastAsia="MS Mincho" w:cs="Arial"/>
                <w:color w:val="FFFFFF"/>
                <w:w w:val="105"/>
                <w:sz w:val="18"/>
                <w:szCs w:val="18"/>
                <w:lang w:eastAsia="en-AU"/>
              </w:rPr>
            </w:pPr>
            <w:r w:rsidRPr="00433846">
              <w:rPr>
                <w:rFonts w:eastAsia="MS Mincho" w:cs="Arial"/>
                <w:color w:val="FFFFFF"/>
                <w:w w:val="105"/>
                <w:sz w:val="18"/>
                <w:szCs w:val="18"/>
                <w:lang w:eastAsia="en-AU"/>
              </w:rPr>
              <w:t>Final RIS published</w:t>
            </w:r>
          </w:p>
        </w:tc>
      </w:tr>
      <w:tr w:rsidR="009A6219" w:rsidRPr="00433846" w14:paraId="406E376A" w14:textId="77777777" w:rsidTr="000F5280">
        <w:trPr>
          <w:trHeight w:val="510"/>
          <w:tblHeader/>
        </w:trPr>
        <w:tc>
          <w:tcPr>
            <w:tcW w:w="5104" w:type="dxa"/>
            <w:shd w:val="clear" w:color="auto" w:fill="auto"/>
            <w:vAlign w:val="center"/>
          </w:tcPr>
          <w:p w14:paraId="214A0044" w14:textId="77777777" w:rsidR="009A6219" w:rsidRPr="003A33CE" w:rsidRDefault="009A6219" w:rsidP="009A6219">
            <w:pPr>
              <w:pStyle w:val="TableParagraph"/>
              <w:keepNext/>
              <w:keepLines/>
              <w:kinsoku w:val="0"/>
              <w:overflowPunct w:val="0"/>
              <w:spacing w:beforeLines="60" w:before="144" w:after="120"/>
              <w:ind w:left="79"/>
              <w:rPr>
                <w:rFonts w:cs="Arial"/>
                <w:b/>
                <w:w w:val="105"/>
                <w:sz w:val="18"/>
                <w:szCs w:val="18"/>
                <w:highlight w:val="yellow"/>
              </w:rPr>
            </w:pPr>
            <w:r w:rsidRPr="003A33CE">
              <w:rPr>
                <w:rFonts w:ascii="Arial" w:hAnsi="Arial" w:cs="Arial"/>
                <w:b/>
                <w:spacing w:val="-3"/>
                <w:sz w:val="18"/>
                <w:szCs w:val="18"/>
              </w:rPr>
              <w:t>Technical Amendments to the Gene Technology regulations</w:t>
            </w:r>
          </w:p>
        </w:tc>
        <w:tc>
          <w:tcPr>
            <w:tcW w:w="1417" w:type="dxa"/>
            <w:shd w:val="clear" w:color="auto" w:fill="auto"/>
            <w:vAlign w:val="center"/>
          </w:tcPr>
          <w:p w14:paraId="2EF8F1D1" w14:textId="41E061D7" w:rsidR="009A6219" w:rsidRPr="003A33CE" w:rsidRDefault="009A6219" w:rsidP="009A6219">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8 Apr 19</w:t>
            </w:r>
          </w:p>
        </w:tc>
        <w:tc>
          <w:tcPr>
            <w:tcW w:w="1249" w:type="dxa"/>
            <w:shd w:val="clear" w:color="auto" w:fill="auto"/>
            <w:vAlign w:val="center"/>
          </w:tcPr>
          <w:p w14:paraId="1F61B2D9" w14:textId="68A08573" w:rsidR="009A6219" w:rsidRPr="003A33CE" w:rsidRDefault="009A6219" w:rsidP="009A6219">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Yes</w:t>
            </w:r>
          </w:p>
        </w:tc>
        <w:tc>
          <w:tcPr>
            <w:tcW w:w="1104" w:type="dxa"/>
            <w:shd w:val="clear" w:color="auto" w:fill="auto"/>
            <w:vAlign w:val="center"/>
          </w:tcPr>
          <w:p w14:paraId="0216F319" w14:textId="52212DC6" w:rsidR="009A6219" w:rsidRPr="003A33CE" w:rsidRDefault="009A6219" w:rsidP="009A6219">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Yes</w:t>
            </w:r>
          </w:p>
        </w:tc>
        <w:tc>
          <w:tcPr>
            <w:tcW w:w="1105" w:type="dxa"/>
            <w:shd w:val="clear" w:color="auto" w:fill="auto"/>
            <w:vAlign w:val="center"/>
          </w:tcPr>
          <w:p w14:paraId="4578A567" w14:textId="56947DC1" w:rsidR="009A6219" w:rsidRPr="003A33CE" w:rsidRDefault="009A6219" w:rsidP="009A6219">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3 Jun 19</w:t>
            </w:r>
          </w:p>
        </w:tc>
      </w:tr>
    </w:tbl>
    <w:p w14:paraId="4CAABA3D" w14:textId="0FD3F7F0" w:rsidR="001D5CEA" w:rsidRPr="00676F04" w:rsidRDefault="009A6219" w:rsidP="00676F04">
      <w:pPr>
        <w:pStyle w:val="TableParagraph"/>
        <w:keepNext/>
        <w:keepLines/>
        <w:kinsoku w:val="0"/>
        <w:overflowPunct w:val="0"/>
        <w:spacing w:after="120"/>
        <w:ind w:left="142"/>
        <w:rPr>
          <w:rFonts w:ascii="Arial" w:hAnsi="Arial" w:cs="Arial"/>
          <w:spacing w:val="-3"/>
          <w:sz w:val="18"/>
          <w:szCs w:val="18"/>
        </w:rPr>
      </w:pPr>
      <w:r w:rsidRPr="009A6219">
        <w:rPr>
          <w:rFonts w:ascii="Arial" w:hAnsi="Arial" w:cs="Arial"/>
          <w:spacing w:val="-3"/>
          <w:sz w:val="18"/>
          <w:szCs w:val="18"/>
        </w:rPr>
        <w:t>The Legislative and Governance Forum on Gene Technology agr</w:t>
      </w:r>
      <w:r w:rsidR="002F2F55">
        <w:rPr>
          <w:rFonts w:ascii="Arial" w:hAnsi="Arial" w:cs="Arial"/>
          <w:spacing w:val="-3"/>
          <w:sz w:val="18"/>
          <w:szCs w:val="18"/>
        </w:rPr>
        <w:t>eed to technical amendments to r</w:t>
      </w:r>
      <w:r w:rsidRPr="009A6219">
        <w:rPr>
          <w:rFonts w:ascii="Arial" w:hAnsi="Arial" w:cs="Arial"/>
          <w:spacing w:val="-3"/>
          <w:sz w:val="18"/>
          <w:szCs w:val="18"/>
        </w:rPr>
        <w:t xml:space="preserve">egulations made under the Gene Technology Act 2000. The technical amendments seek to address ambiguities in the regulations, update the categorisation of contained dealing with GMOs (genetically modified organisms) and clarify the regulatory status of organisms derived from GMOs. </w:t>
      </w:r>
    </w:p>
    <w:p w14:paraId="623B8CA7" w14:textId="77777777" w:rsidR="00676F04" w:rsidRDefault="00676F04" w:rsidP="00BC0477">
      <w:pPr>
        <w:pStyle w:val="Heading3"/>
      </w:pPr>
    </w:p>
    <w:p w14:paraId="7CC87DE8" w14:textId="77777777" w:rsidR="00676F04" w:rsidRDefault="00676F04" w:rsidP="00BC0477">
      <w:pPr>
        <w:pStyle w:val="Heading3"/>
      </w:pPr>
    </w:p>
    <w:p w14:paraId="7C1A0C37" w14:textId="77777777" w:rsidR="00676F04" w:rsidRDefault="00676F04" w:rsidP="00BC0477">
      <w:pPr>
        <w:pStyle w:val="Heading3"/>
      </w:pPr>
    </w:p>
    <w:p w14:paraId="2AA86773" w14:textId="77777777" w:rsidR="00676F04" w:rsidRDefault="00676F04" w:rsidP="00BC0477">
      <w:pPr>
        <w:pStyle w:val="Heading3"/>
      </w:pPr>
    </w:p>
    <w:p w14:paraId="4581581A" w14:textId="77777777" w:rsidR="00676F04" w:rsidRDefault="00676F04" w:rsidP="00BC0477">
      <w:pPr>
        <w:pStyle w:val="Heading3"/>
      </w:pPr>
    </w:p>
    <w:p w14:paraId="74F3EDD3" w14:textId="77777777" w:rsidR="00676F04" w:rsidRDefault="00676F04" w:rsidP="00BC0477">
      <w:pPr>
        <w:pStyle w:val="Heading3"/>
      </w:pPr>
    </w:p>
    <w:p w14:paraId="77ACE1F1" w14:textId="77777777" w:rsidR="00676F04" w:rsidRDefault="00676F04" w:rsidP="00BC0477">
      <w:pPr>
        <w:pStyle w:val="Heading3"/>
      </w:pPr>
    </w:p>
    <w:p w14:paraId="56A3C4F7" w14:textId="41FC6FB1" w:rsidR="00BC0477" w:rsidRDefault="006F68B9" w:rsidP="00BC0477">
      <w:pPr>
        <w:pStyle w:val="Heading3"/>
      </w:pPr>
      <w:bookmarkStart w:id="325" w:name="_Toc20384874"/>
      <w:r>
        <w:t>Legi</w:t>
      </w:r>
      <w:r w:rsidR="00E16796">
        <w:t xml:space="preserve">slative </w:t>
      </w:r>
      <w:r w:rsidR="003A33CE">
        <w:t xml:space="preserve">and </w:t>
      </w:r>
      <w:r w:rsidR="00E16796">
        <w:t>Governance Forum on Cons</w:t>
      </w:r>
      <w:r>
        <w:t>umer Affairs</w:t>
      </w:r>
      <w:bookmarkEnd w:id="325"/>
      <w:r>
        <w:t xml:space="preserve"> </w:t>
      </w:r>
    </w:p>
    <w:tbl>
      <w:tblPr>
        <w:tblW w:w="9979" w:type="dxa"/>
        <w:tblInd w:w="-142" w:type="dxa"/>
        <w:tblLayout w:type="fixed"/>
        <w:tblCellMar>
          <w:left w:w="0" w:type="dxa"/>
          <w:right w:w="0" w:type="dxa"/>
        </w:tblCellMar>
        <w:tblLook w:val="0000" w:firstRow="0" w:lastRow="0" w:firstColumn="0" w:lastColumn="0" w:noHBand="0" w:noVBand="0"/>
        <w:tblCaption w:val="Decorative alcohol fuelled devices"/>
        <w:tblDescription w:val="Decorative alcohol fuelled devices: Compliant at consultation, Compliant at decision, Final RIS published. Decision Date: 10 July 2017."/>
      </w:tblPr>
      <w:tblGrid>
        <w:gridCol w:w="5104"/>
        <w:gridCol w:w="1417"/>
        <w:gridCol w:w="1249"/>
        <w:gridCol w:w="1104"/>
        <w:gridCol w:w="1105"/>
      </w:tblGrid>
      <w:tr w:rsidR="00BC0477" w:rsidRPr="009F2777" w14:paraId="56A3C4FD" w14:textId="77777777" w:rsidTr="00AD2DAF">
        <w:trPr>
          <w:trHeight w:val="510"/>
          <w:tblHeader/>
        </w:trPr>
        <w:tc>
          <w:tcPr>
            <w:tcW w:w="5104" w:type="dxa"/>
            <w:shd w:val="clear" w:color="auto" w:fill="F4973F"/>
            <w:vAlign w:val="center"/>
          </w:tcPr>
          <w:p w14:paraId="56A3C4F8" w14:textId="77777777" w:rsidR="00BC0477" w:rsidRPr="009F2777" w:rsidRDefault="00BC0477" w:rsidP="007951B4">
            <w:pPr>
              <w:pStyle w:val="TableParagraph"/>
              <w:kinsoku w:val="0"/>
              <w:overflowPunct w:val="0"/>
              <w:spacing w:beforeLines="60" w:before="144" w:after="60"/>
              <w:ind w:left="85"/>
              <w:rPr>
                <w:sz w:val="18"/>
                <w:szCs w:val="18"/>
              </w:rPr>
            </w:pPr>
            <w:r w:rsidRPr="009F2777">
              <w:rPr>
                <w:rFonts w:ascii="Arial" w:hAnsi="Arial" w:cs="Arial"/>
                <w:color w:val="FFFFFF"/>
                <w:w w:val="105"/>
                <w:sz w:val="18"/>
                <w:szCs w:val="18"/>
              </w:rPr>
              <w:t>Proposal</w:t>
            </w:r>
          </w:p>
        </w:tc>
        <w:tc>
          <w:tcPr>
            <w:tcW w:w="1417" w:type="dxa"/>
            <w:shd w:val="clear" w:color="auto" w:fill="F4973F"/>
            <w:vAlign w:val="center"/>
          </w:tcPr>
          <w:p w14:paraId="56A3C4F9" w14:textId="77777777" w:rsidR="00BC0477" w:rsidRPr="009F2777" w:rsidRDefault="00BC0477" w:rsidP="007951B4">
            <w:pPr>
              <w:pStyle w:val="TableParagraph"/>
              <w:kinsoku w:val="0"/>
              <w:overflowPunct w:val="0"/>
              <w:spacing w:beforeLines="60" w:before="144" w:after="60"/>
              <w:jc w:val="center"/>
              <w:rPr>
                <w:sz w:val="18"/>
                <w:szCs w:val="18"/>
              </w:rPr>
            </w:pPr>
            <w:r w:rsidRPr="009F2777">
              <w:rPr>
                <w:rFonts w:ascii="Arial" w:hAnsi="Arial" w:cs="Arial"/>
                <w:color w:val="FFFFFF"/>
                <w:w w:val="105"/>
                <w:sz w:val="18"/>
                <w:szCs w:val="18"/>
              </w:rPr>
              <w:t>Decision date</w:t>
            </w:r>
          </w:p>
        </w:tc>
        <w:tc>
          <w:tcPr>
            <w:tcW w:w="1249" w:type="dxa"/>
            <w:shd w:val="clear" w:color="auto" w:fill="F4973F"/>
            <w:vAlign w:val="center"/>
          </w:tcPr>
          <w:p w14:paraId="56A3C4FA" w14:textId="77777777" w:rsidR="00BC0477" w:rsidRPr="009F2777" w:rsidRDefault="00BC0477" w:rsidP="007951B4">
            <w:pPr>
              <w:pStyle w:val="TableParagraph"/>
              <w:kinsoku w:val="0"/>
              <w:overflowPunct w:val="0"/>
              <w:spacing w:beforeLines="60" w:before="144" w:after="60"/>
              <w:jc w:val="center"/>
              <w:rPr>
                <w:rFonts w:ascii="Arial" w:hAnsi="Arial" w:cs="Arial"/>
                <w:color w:val="FFFFFF"/>
                <w:w w:val="105"/>
                <w:sz w:val="18"/>
                <w:szCs w:val="18"/>
              </w:rPr>
            </w:pPr>
            <w:r w:rsidRPr="009F2777">
              <w:rPr>
                <w:rFonts w:ascii="Arial" w:hAnsi="Arial" w:cs="Arial"/>
                <w:color w:val="FFFFFF"/>
                <w:w w:val="105"/>
                <w:sz w:val="18"/>
                <w:szCs w:val="18"/>
              </w:rPr>
              <w:t>Compliant at consultation</w:t>
            </w:r>
          </w:p>
        </w:tc>
        <w:tc>
          <w:tcPr>
            <w:tcW w:w="1104" w:type="dxa"/>
            <w:shd w:val="clear" w:color="auto" w:fill="F4973F"/>
            <w:vAlign w:val="center"/>
          </w:tcPr>
          <w:p w14:paraId="56A3C4FB" w14:textId="77777777" w:rsidR="00BC0477" w:rsidRPr="009F2777" w:rsidRDefault="00BC0477" w:rsidP="007951B4">
            <w:pPr>
              <w:pStyle w:val="TableParagraph"/>
              <w:kinsoku w:val="0"/>
              <w:overflowPunct w:val="0"/>
              <w:spacing w:beforeLines="60" w:before="144" w:after="60"/>
              <w:jc w:val="center"/>
              <w:rPr>
                <w:sz w:val="18"/>
                <w:szCs w:val="18"/>
              </w:rPr>
            </w:pPr>
            <w:r w:rsidRPr="009F2777">
              <w:rPr>
                <w:rFonts w:ascii="Arial" w:hAnsi="Arial" w:cs="Arial"/>
                <w:color w:val="FFFFFF"/>
                <w:w w:val="105"/>
                <w:sz w:val="18"/>
                <w:szCs w:val="18"/>
              </w:rPr>
              <w:t>Compliant at decision</w:t>
            </w:r>
          </w:p>
        </w:tc>
        <w:tc>
          <w:tcPr>
            <w:tcW w:w="1105" w:type="dxa"/>
            <w:shd w:val="clear" w:color="auto" w:fill="F4973F"/>
            <w:vAlign w:val="center"/>
          </w:tcPr>
          <w:p w14:paraId="56A3C4FC" w14:textId="77777777" w:rsidR="00BC0477" w:rsidRPr="009F2777" w:rsidRDefault="00BC0477" w:rsidP="007951B4">
            <w:pPr>
              <w:pStyle w:val="TableParagraph"/>
              <w:kinsoku w:val="0"/>
              <w:overflowPunct w:val="0"/>
              <w:spacing w:beforeLines="60" w:before="144" w:after="60"/>
              <w:jc w:val="center"/>
              <w:rPr>
                <w:rFonts w:ascii="Arial" w:hAnsi="Arial" w:cs="Arial"/>
                <w:color w:val="FFFFFF"/>
                <w:w w:val="105"/>
                <w:sz w:val="18"/>
                <w:szCs w:val="18"/>
              </w:rPr>
            </w:pPr>
            <w:r w:rsidRPr="009F2777">
              <w:rPr>
                <w:rFonts w:ascii="Arial" w:hAnsi="Arial" w:cs="Arial"/>
                <w:color w:val="FFFFFF"/>
                <w:w w:val="105"/>
                <w:sz w:val="18"/>
                <w:szCs w:val="18"/>
              </w:rPr>
              <w:t>Final RIS published</w:t>
            </w:r>
          </w:p>
        </w:tc>
      </w:tr>
      <w:tr w:rsidR="00C8725F" w:rsidRPr="003A33CE" w14:paraId="765987AC" w14:textId="77777777" w:rsidTr="00C8725F">
        <w:trPr>
          <w:trHeight w:val="510"/>
          <w:tblHeader/>
        </w:trPr>
        <w:tc>
          <w:tcPr>
            <w:tcW w:w="5104" w:type="dxa"/>
            <w:shd w:val="clear" w:color="auto" w:fill="auto"/>
            <w:vAlign w:val="center"/>
          </w:tcPr>
          <w:p w14:paraId="3E97F5A9" w14:textId="6A7BB8B3" w:rsidR="00C8725F" w:rsidRPr="003A33CE" w:rsidRDefault="00C8725F" w:rsidP="00433846">
            <w:pPr>
              <w:pStyle w:val="TableParagraph"/>
              <w:keepNext/>
              <w:keepLines/>
              <w:kinsoku w:val="0"/>
              <w:overflowPunct w:val="0"/>
              <w:spacing w:beforeLines="60" w:before="144" w:after="120"/>
              <w:ind w:left="79"/>
              <w:rPr>
                <w:rFonts w:ascii="Arial" w:hAnsi="Arial" w:cs="Arial"/>
                <w:b/>
                <w:w w:val="105"/>
                <w:sz w:val="18"/>
                <w:szCs w:val="18"/>
              </w:rPr>
            </w:pPr>
            <w:r w:rsidRPr="003A33CE">
              <w:rPr>
                <w:rFonts w:ascii="Arial" w:hAnsi="Arial" w:cs="Arial"/>
                <w:b/>
                <w:spacing w:val="-3"/>
                <w:sz w:val="18"/>
                <w:szCs w:val="18"/>
              </w:rPr>
              <w:t>Gift Card Expiry Dates</w:t>
            </w:r>
          </w:p>
        </w:tc>
        <w:tc>
          <w:tcPr>
            <w:tcW w:w="1417" w:type="dxa"/>
            <w:shd w:val="clear" w:color="auto" w:fill="auto"/>
            <w:vAlign w:val="center"/>
          </w:tcPr>
          <w:p w14:paraId="66B83AD2" w14:textId="2A26C245" w:rsidR="00C8725F" w:rsidRPr="003A33CE" w:rsidRDefault="00C8725F" w:rsidP="007951B4">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26 Oct 18</w:t>
            </w:r>
          </w:p>
        </w:tc>
        <w:tc>
          <w:tcPr>
            <w:tcW w:w="1249" w:type="dxa"/>
            <w:shd w:val="clear" w:color="auto" w:fill="auto"/>
            <w:vAlign w:val="center"/>
          </w:tcPr>
          <w:p w14:paraId="44B56FBE" w14:textId="34CF6206" w:rsidR="00C8725F" w:rsidRPr="003A33CE" w:rsidRDefault="00C8725F" w:rsidP="007951B4">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Yes</w:t>
            </w:r>
          </w:p>
        </w:tc>
        <w:tc>
          <w:tcPr>
            <w:tcW w:w="1104" w:type="dxa"/>
            <w:shd w:val="clear" w:color="auto" w:fill="auto"/>
            <w:vAlign w:val="center"/>
          </w:tcPr>
          <w:p w14:paraId="7F8CA39C" w14:textId="09698F58" w:rsidR="00C8725F" w:rsidRPr="003A33CE" w:rsidRDefault="00C8725F" w:rsidP="007951B4">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Yes</w:t>
            </w:r>
          </w:p>
        </w:tc>
        <w:tc>
          <w:tcPr>
            <w:tcW w:w="1105" w:type="dxa"/>
            <w:shd w:val="clear" w:color="auto" w:fill="auto"/>
            <w:vAlign w:val="center"/>
          </w:tcPr>
          <w:p w14:paraId="516DA4D6" w14:textId="0A0F194A" w:rsidR="00C8725F" w:rsidRPr="003A33CE" w:rsidRDefault="00C8725F" w:rsidP="00676F04">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 xml:space="preserve">29 </w:t>
            </w:r>
            <w:r w:rsidR="00676F04" w:rsidRPr="003A33CE">
              <w:rPr>
                <w:rFonts w:ascii="Arial" w:hAnsi="Arial" w:cs="Arial"/>
                <w:b/>
                <w:w w:val="105"/>
                <w:sz w:val="18"/>
                <w:szCs w:val="18"/>
              </w:rPr>
              <w:t>Nov</w:t>
            </w:r>
            <w:r w:rsidRPr="003A33CE">
              <w:rPr>
                <w:rFonts w:ascii="Arial" w:hAnsi="Arial" w:cs="Arial"/>
                <w:b/>
                <w:w w:val="105"/>
                <w:sz w:val="18"/>
                <w:szCs w:val="18"/>
              </w:rPr>
              <w:t xml:space="preserve"> 18</w:t>
            </w:r>
          </w:p>
        </w:tc>
      </w:tr>
    </w:tbl>
    <w:p w14:paraId="1BF6C2D9" w14:textId="07BF7F6F" w:rsidR="00C8725F" w:rsidRPr="00433846" w:rsidRDefault="00C8725F" w:rsidP="00433846">
      <w:pPr>
        <w:pStyle w:val="TableParagraph"/>
        <w:keepNext/>
        <w:keepLines/>
        <w:kinsoku w:val="0"/>
        <w:overflowPunct w:val="0"/>
        <w:spacing w:after="120"/>
        <w:ind w:left="142"/>
        <w:rPr>
          <w:rFonts w:ascii="Arial" w:hAnsi="Arial" w:cs="Arial"/>
          <w:spacing w:val="-3"/>
          <w:sz w:val="18"/>
          <w:szCs w:val="18"/>
        </w:rPr>
      </w:pPr>
      <w:r w:rsidRPr="00433846">
        <w:rPr>
          <w:rFonts w:ascii="Arial" w:hAnsi="Arial" w:cs="Arial"/>
          <w:spacing w:val="-3"/>
          <w:sz w:val="18"/>
          <w:szCs w:val="18"/>
        </w:rPr>
        <w:t>Proposal to amend the Australian Consumer Law to regulate the expiry period for retail gift cards and vouchers. The proposal introduces a minimum three-year expiry period, requires expiry date information to be prominently displayed and bans the charging of post-purchase fee.</w:t>
      </w:r>
    </w:p>
    <w:tbl>
      <w:tblPr>
        <w:tblW w:w="9979" w:type="dxa"/>
        <w:tblInd w:w="-142" w:type="dxa"/>
        <w:tblLayout w:type="fixed"/>
        <w:tblCellMar>
          <w:left w:w="0" w:type="dxa"/>
          <w:right w:w="0" w:type="dxa"/>
        </w:tblCellMar>
        <w:tblLook w:val="0000" w:firstRow="0" w:lastRow="0" w:firstColumn="0" w:lastColumn="0" w:noHBand="0" w:noVBand="0"/>
        <w:tblCaption w:val="Decorative alcohol fuelled devices"/>
        <w:tblDescription w:val="Decorative alcohol fuelled devices: Compliant at consultation, Compliant at decision, Final RIS published. Decision Date: 10 July 2017."/>
      </w:tblPr>
      <w:tblGrid>
        <w:gridCol w:w="5104"/>
        <w:gridCol w:w="1417"/>
        <w:gridCol w:w="1249"/>
        <w:gridCol w:w="1104"/>
        <w:gridCol w:w="1105"/>
      </w:tblGrid>
      <w:tr w:rsidR="00C8725F" w:rsidRPr="003A33CE" w14:paraId="6C9609D7" w14:textId="77777777" w:rsidTr="0002781C">
        <w:trPr>
          <w:trHeight w:val="510"/>
          <w:tblHeader/>
        </w:trPr>
        <w:tc>
          <w:tcPr>
            <w:tcW w:w="5104" w:type="dxa"/>
            <w:shd w:val="clear" w:color="auto" w:fill="auto"/>
            <w:vAlign w:val="center"/>
          </w:tcPr>
          <w:p w14:paraId="03EC71F5" w14:textId="53A27B7E" w:rsidR="00C8725F" w:rsidRPr="003A33CE" w:rsidRDefault="00C8725F" w:rsidP="00433846">
            <w:pPr>
              <w:pStyle w:val="TableParagraph"/>
              <w:keepNext/>
              <w:keepLines/>
              <w:kinsoku w:val="0"/>
              <w:overflowPunct w:val="0"/>
              <w:spacing w:beforeLines="60" w:before="144" w:after="120"/>
              <w:ind w:left="79"/>
              <w:rPr>
                <w:rFonts w:ascii="Arial" w:hAnsi="Arial" w:cs="Arial"/>
                <w:b/>
                <w:w w:val="105"/>
                <w:sz w:val="18"/>
                <w:szCs w:val="18"/>
              </w:rPr>
            </w:pPr>
            <w:r w:rsidRPr="003A33CE">
              <w:rPr>
                <w:rFonts w:ascii="Arial" w:hAnsi="Arial" w:cs="Arial"/>
                <w:b/>
                <w:spacing w:val="-3"/>
                <w:sz w:val="18"/>
                <w:szCs w:val="18"/>
              </w:rPr>
              <w:t>Consumer Guarantees</w:t>
            </w:r>
          </w:p>
        </w:tc>
        <w:tc>
          <w:tcPr>
            <w:tcW w:w="1417" w:type="dxa"/>
            <w:shd w:val="clear" w:color="auto" w:fill="auto"/>
            <w:vAlign w:val="center"/>
          </w:tcPr>
          <w:p w14:paraId="20DC7635" w14:textId="77777777" w:rsidR="00C8725F" w:rsidRPr="003A33CE" w:rsidRDefault="00C8725F" w:rsidP="0002781C">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26 Oct 18</w:t>
            </w:r>
          </w:p>
        </w:tc>
        <w:tc>
          <w:tcPr>
            <w:tcW w:w="1249" w:type="dxa"/>
            <w:shd w:val="clear" w:color="auto" w:fill="auto"/>
            <w:vAlign w:val="center"/>
          </w:tcPr>
          <w:p w14:paraId="44AF9D8E" w14:textId="77777777" w:rsidR="00C8725F" w:rsidRPr="003A33CE" w:rsidRDefault="00C8725F" w:rsidP="0002781C">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Yes</w:t>
            </w:r>
          </w:p>
        </w:tc>
        <w:tc>
          <w:tcPr>
            <w:tcW w:w="1104" w:type="dxa"/>
            <w:shd w:val="clear" w:color="auto" w:fill="auto"/>
            <w:vAlign w:val="center"/>
          </w:tcPr>
          <w:p w14:paraId="203C234F" w14:textId="3F84CA58" w:rsidR="00C8725F" w:rsidRPr="003A33CE" w:rsidRDefault="00C8725F" w:rsidP="0002781C">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Yes</w:t>
            </w:r>
          </w:p>
        </w:tc>
        <w:tc>
          <w:tcPr>
            <w:tcW w:w="1105" w:type="dxa"/>
            <w:shd w:val="clear" w:color="auto" w:fill="auto"/>
            <w:vAlign w:val="center"/>
          </w:tcPr>
          <w:p w14:paraId="3E23558E" w14:textId="549AA3F9" w:rsidR="00C8725F" w:rsidRPr="003A33CE" w:rsidRDefault="00C8725F" w:rsidP="00C8725F">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29 Nov 18</w:t>
            </w:r>
          </w:p>
        </w:tc>
      </w:tr>
    </w:tbl>
    <w:p w14:paraId="53047477" w14:textId="4D29597B" w:rsidR="00C8725F" w:rsidRDefault="00C8725F" w:rsidP="00433846">
      <w:pPr>
        <w:pStyle w:val="TableParagraph"/>
        <w:keepNext/>
        <w:keepLines/>
        <w:kinsoku w:val="0"/>
        <w:overflowPunct w:val="0"/>
        <w:spacing w:after="120"/>
        <w:ind w:left="142"/>
        <w:rPr>
          <w:rFonts w:ascii="Arial" w:hAnsi="Arial" w:cs="Arial"/>
          <w:spacing w:val="-3"/>
          <w:sz w:val="18"/>
          <w:szCs w:val="18"/>
        </w:rPr>
      </w:pPr>
      <w:r w:rsidRPr="00433846">
        <w:rPr>
          <w:rFonts w:ascii="Arial" w:hAnsi="Arial" w:cs="Arial"/>
          <w:spacing w:val="-3"/>
          <w:sz w:val="18"/>
          <w:szCs w:val="18"/>
        </w:rPr>
        <w:t>Amendments to the consumer guarantees framework within t</w:t>
      </w:r>
      <w:r w:rsidR="002F2F55">
        <w:rPr>
          <w:rFonts w:ascii="Arial" w:hAnsi="Arial" w:cs="Arial"/>
          <w:spacing w:val="-3"/>
          <w:sz w:val="18"/>
          <w:szCs w:val="18"/>
        </w:rPr>
        <w:t>he Australian Consumer Law (ACL)</w:t>
      </w:r>
      <w:r w:rsidRPr="00433846">
        <w:rPr>
          <w:rFonts w:ascii="Arial" w:hAnsi="Arial" w:cs="Arial"/>
          <w:spacing w:val="-3"/>
          <w:sz w:val="18"/>
          <w:szCs w:val="18"/>
        </w:rPr>
        <w:t>. The amendments arise from a review of the ACL that found the ACL to be generally beneficial and fit-for-purpose, but there were some ongoing difficulties with the operation of the consumer guarantee provisions.</w:t>
      </w:r>
    </w:p>
    <w:tbl>
      <w:tblPr>
        <w:tblW w:w="9979" w:type="dxa"/>
        <w:tblInd w:w="-142" w:type="dxa"/>
        <w:tblLayout w:type="fixed"/>
        <w:tblCellMar>
          <w:left w:w="0" w:type="dxa"/>
          <w:right w:w="0" w:type="dxa"/>
        </w:tblCellMar>
        <w:tblLook w:val="0000" w:firstRow="0" w:lastRow="0" w:firstColumn="0" w:lastColumn="0" w:noHBand="0" w:noVBand="0"/>
        <w:tblCaption w:val="Decorative alcohol fuelled devices"/>
        <w:tblDescription w:val="Decorative alcohol fuelled devices: Compliant at consultation, Compliant at decision, Final RIS published. Decision Date: 10 July 2017."/>
      </w:tblPr>
      <w:tblGrid>
        <w:gridCol w:w="5104"/>
        <w:gridCol w:w="1417"/>
        <w:gridCol w:w="1249"/>
        <w:gridCol w:w="1104"/>
        <w:gridCol w:w="1105"/>
      </w:tblGrid>
      <w:tr w:rsidR="00676F04" w:rsidRPr="009F2777" w14:paraId="2D0F4E00" w14:textId="77777777" w:rsidTr="00B22D09">
        <w:trPr>
          <w:trHeight w:val="510"/>
          <w:tblHeader/>
        </w:trPr>
        <w:tc>
          <w:tcPr>
            <w:tcW w:w="5104" w:type="dxa"/>
            <w:shd w:val="clear" w:color="auto" w:fill="auto"/>
            <w:vAlign w:val="center"/>
          </w:tcPr>
          <w:p w14:paraId="45BD3563" w14:textId="77777777" w:rsidR="00676F04" w:rsidRPr="003A33CE" w:rsidRDefault="00676F04" w:rsidP="00B22D09">
            <w:pPr>
              <w:pStyle w:val="TableParagraph"/>
              <w:keepNext/>
              <w:keepLines/>
              <w:kinsoku w:val="0"/>
              <w:overflowPunct w:val="0"/>
              <w:spacing w:beforeLines="60" w:before="144" w:after="120"/>
              <w:ind w:left="79"/>
              <w:rPr>
                <w:rFonts w:ascii="Arial" w:hAnsi="Arial" w:cs="Arial"/>
                <w:b/>
                <w:w w:val="105"/>
                <w:sz w:val="18"/>
                <w:szCs w:val="18"/>
              </w:rPr>
            </w:pPr>
            <w:r w:rsidRPr="003A33CE">
              <w:rPr>
                <w:rFonts w:ascii="Arial" w:hAnsi="Arial" w:cs="Arial"/>
                <w:b/>
                <w:spacing w:val="-3"/>
                <w:sz w:val="18"/>
                <w:szCs w:val="18"/>
              </w:rPr>
              <w:t>Paper Billing</w:t>
            </w:r>
          </w:p>
        </w:tc>
        <w:tc>
          <w:tcPr>
            <w:tcW w:w="1417" w:type="dxa"/>
            <w:shd w:val="clear" w:color="auto" w:fill="auto"/>
            <w:vAlign w:val="center"/>
          </w:tcPr>
          <w:p w14:paraId="06B5DE27" w14:textId="77777777" w:rsidR="00676F04" w:rsidRPr="003A33CE" w:rsidRDefault="00676F04" w:rsidP="00B22D09">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26 Oct 18</w:t>
            </w:r>
          </w:p>
        </w:tc>
        <w:tc>
          <w:tcPr>
            <w:tcW w:w="1249" w:type="dxa"/>
            <w:shd w:val="clear" w:color="auto" w:fill="auto"/>
            <w:vAlign w:val="center"/>
          </w:tcPr>
          <w:p w14:paraId="0A1820B7" w14:textId="77777777" w:rsidR="00676F04" w:rsidRPr="003A33CE" w:rsidRDefault="00676F04" w:rsidP="00B22D09">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Yes</w:t>
            </w:r>
          </w:p>
        </w:tc>
        <w:tc>
          <w:tcPr>
            <w:tcW w:w="1104" w:type="dxa"/>
            <w:shd w:val="clear" w:color="auto" w:fill="auto"/>
            <w:vAlign w:val="center"/>
          </w:tcPr>
          <w:p w14:paraId="5AABB5D7" w14:textId="77777777" w:rsidR="00676F04" w:rsidRPr="003A33CE" w:rsidRDefault="00676F04" w:rsidP="00B22D09">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Yes</w:t>
            </w:r>
          </w:p>
        </w:tc>
        <w:tc>
          <w:tcPr>
            <w:tcW w:w="1105" w:type="dxa"/>
            <w:shd w:val="clear" w:color="auto" w:fill="auto"/>
            <w:vAlign w:val="center"/>
          </w:tcPr>
          <w:p w14:paraId="086BDD23" w14:textId="77777777" w:rsidR="00676F04" w:rsidRPr="003A33CE" w:rsidRDefault="00676F04" w:rsidP="00B22D09">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29 Nov 18</w:t>
            </w:r>
          </w:p>
        </w:tc>
      </w:tr>
    </w:tbl>
    <w:p w14:paraId="10E35350" w14:textId="5765DAC6" w:rsidR="00676F04" w:rsidRPr="00433846" w:rsidRDefault="00676F04" w:rsidP="00676F04">
      <w:pPr>
        <w:pStyle w:val="TableParagraph"/>
        <w:keepNext/>
        <w:keepLines/>
        <w:kinsoku w:val="0"/>
        <w:overflowPunct w:val="0"/>
        <w:spacing w:after="120"/>
        <w:ind w:left="142"/>
        <w:rPr>
          <w:rFonts w:ascii="Arial" w:hAnsi="Arial" w:cs="Arial"/>
          <w:spacing w:val="-3"/>
          <w:sz w:val="18"/>
          <w:szCs w:val="18"/>
        </w:rPr>
      </w:pPr>
      <w:r w:rsidRPr="00433846">
        <w:rPr>
          <w:rFonts w:ascii="Arial" w:hAnsi="Arial" w:cs="Arial"/>
          <w:spacing w:val="-3"/>
          <w:sz w:val="18"/>
          <w:szCs w:val="18"/>
        </w:rPr>
        <w:t>Examined options to prevent vulnerable or disadvantaged consumers being charged to receive paper bills. Ministers agreed to encourage businesses to increase the uptake of their existing fee exemption programs.</w:t>
      </w:r>
    </w:p>
    <w:tbl>
      <w:tblPr>
        <w:tblW w:w="9979" w:type="dxa"/>
        <w:tblInd w:w="-142" w:type="dxa"/>
        <w:tblLayout w:type="fixed"/>
        <w:tblCellMar>
          <w:left w:w="0" w:type="dxa"/>
          <w:right w:w="0" w:type="dxa"/>
        </w:tblCellMar>
        <w:tblLook w:val="0000" w:firstRow="0" w:lastRow="0" w:firstColumn="0" w:lastColumn="0" w:noHBand="0" w:noVBand="0"/>
        <w:tblCaption w:val="Decorative alcohol fuelled devices"/>
        <w:tblDescription w:val="Decorative alcohol fuelled devices: Compliant at consultation, Compliant at decision, Final RIS published. Decision Date: 10 July 2017."/>
      </w:tblPr>
      <w:tblGrid>
        <w:gridCol w:w="5104"/>
        <w:gridCol w:w="1417"/>
        <w:gridCol w:w="1249"/>
        <w:gridCol w:w="1104"/>
        <w:gridCol w:w="1105"/>
      </w:tblGrid>
      <w:tr w:rsidR="004B466A" w:rsidRPr="003A33CE" w14:paraId="56BD9B16" w14:textId="77777777" w:rsidTr="0002781C">
        <w:trPr>
          <w:trHeight w:val="510"/>
          <w:tblHeader/>
        </w:trPr>
        <w:tc>
          <w:tcPr>
            <w:tcW w:w="5104" w:type="dxa"/>
            <w:shd w:val="clear" w:color="auto" w:fill="auto"/>
            <w:vAlign w:val="center"/>
          </w:tcPr>
          <w:p w14:paraId="7E1B8161" w14:textId="191D2375" w:rsidR="00C8725F" w:rsidRPr="003A33CE" w:rsidRDefault="00C8725F" w:rsidP="00433846">
            <w:pPr>
              <w:pStyle w:val="TableParagraph"/>
              <w:keepNext/>
              <w:keepLines/>
              <w:kinsoku w:val="0"/>
              <w:overflowPunct w:val="0"/>
              <w:spacing w:beforeLines="60" w:before="144" w:after="120"/>
              <w:ind w:left="79"/>
              <w:rPr>
                <w:rFonts w:ascii="Arial" w:hAnsi="Arial" w:cs="Arial"/>
                <w:b/>
                <w:w w:val="105"/>
                <w:sz w:val="18"/>
                <w:szCs w:val="18"/>
              </w:rPr>
            </w:pPr>
            <w:r w:rsidRPr="003A33CE">
              <w:rPr>
                <w:rFonts w:ascii="Arial" w:hAnsi="Arial" w:cs="Arial"/>
                <w:b/>
                <w:spacing w:val="-3"/>
                <w:sz w:val="18"/>
                <w:szCs w:val="18"/>
              </w:rPr>
              <w:t>Ticket Reselling</w:t>
            </w:r>
          </w:p>
        </w:tc>
        <w:tc>
          <w:tcPr>
            <w:tcW w:w="1417" w:type="dxa"/>
            <w:shd w:val="clear" w:color="auto" w:fill="auto"/>
            <w:vAlign w:val="center"/>
          </w:tcPr>
          <w:p w14:paraId="003F6326" w14:textId="77777777" w:rsidR="00C8725F" w:rsidRPr="003A33CE" w:rsidRDefault="00C8725F" w:rsidP="0002781C">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26 Oct 18</w:t>
            </w:r>
          </w:p>
        </w:tc>
        <w:tc>
          <w:tcPr>
            <w:tcW w:w="1249" w:type="dxa"/>
            <w:shd w:val="clear" w:color="auto" w:fill="auto"/>
            <w:vAlign w:val="center"/>
          </w:tcPr>
          <w:p w14:paraId="1ACB547E" w14:textId="77777777" w:rsidR="00C8725F" w:rsidRPr="003A33CE" w:rsidRDefault="00C8725F" w:rsidP="0002781C">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Yes</w:t>
            </w:r>
          </w:p>
        </w:tc>
        <w:tc>
          <w:tcPr>
            <w:tcW w:w="1104" w:type="dxa"/>
            <w:shd w:val="clear" w:color="auto" w:fill="auto"/>
            <w:vAlign w:val="center"/>
          </w:tcPr>
          <w:p w14:paraId="05751549" w14:textId="4F0722E9" w:rsidR="00C8725F" w:rsidRPr="003A33CE" w:rsidRDefault="00C8725F" w:rsidP="0002781C">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Yes</w:t>
            </w:r>
          </w:p>
        </w:tc>
        <w:tc>
          <w:tcPr>
            <w:tcW w:w="1105" w:type="dxa"/>
            <w:shd w:val="clear" w:color="auto" w:fill="auto"/>
            <w:vAlign w:val="center"/>
          </w:tcPr>
          <w:p w14:paraId="77BE3329" w14:textId="7BB73AC6" w:rsidR="00C8725F" w:rsidRPr="003A33CE" w:rsidRDefault="00676F04" w:rsidP="00C8725F">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30 Nov 18</w:t>
            </w:r>
          </w:p>
        </w:tc>
      </w:tr>
    </w:tbl>
    <w:p w14:paraId="34A4E48F" w14:textId="3BDBCE46" w:rsidR="004D39C7" w:rsidRPr="001D5CEA" w:rsidRDefault="00C8725F" w:rsidP="001D5CEA">
      <w:pPr>
        <w:pStyle w:val="TableParagraph"/>
        <w:keepNext/>
        <w:keepLines/>
        <w:kinsoku w:val="0"/>
        <w:overflowPunct w:val="0"/>
        <w:spacing w:after="120"/>
        <w:ind w:left="142"/>
        <w:rPr>
          <w:rFonts w:ascii="Arial" w:hAnsi="Arial" w:cs="Arial"/>
          <w:spacing w:val="-3"/>
          <w:sz w:val="18"/>
          <w:szCs w:val="18"/>
        </w:rPr>
      </w:pPr>
      <w:r w:rsidRPr="00433846">
        <w:rPr>
          <w:rFonts w:ascii="Arial" w:hAnsi="Arial" w:cs="Arial"/>
          <w:spacing w:val="-3"/>
          <w:sz w:val="18"/>
          <w:szCs w:val="18"/>
        </w:rPr>
        <w:t>The proposal requires ticket resale websites to disclose the face value of tickets and the fact that the website is not a primary ticket seller. This will ensure consumers can make an informed decision about whether to buy tickets from resale websites. The proposal does not restrict the continued operation of secondary ticket markets, in recognition that these provide a valuable service for consumers.</w:t>
      </w:r>
    </w:p>
    <w:p w14:paraId="56A3C534" w14:textId="7133BA70" w:rsidR="004D39C7" w:rsidRDefault="00676F04" w:rsidP="00A2320E">
      <w:pPr>
        <w:pStyle w:val="Heading3"/>
      </w:pPr>
      <w:bookmarkStart w:id="326" w:name="_Toc20384875"/>
      <w:r w:rsidRPr="00676F04">
        <w:t>Transport and Infrastructure Council</w:t>
      </w:r>
      <w:bookmarkEnd w:id="326"/>
    </w:p>
    <w:tbl>
      <w:tblPr>
        <w:tblW w:w="9979" w:type="dxa"/>
        <w:tblInd w:w="-142" w:type="dxa"/>
        <w:tblLayout w:type="fixed"/>
        <w:tblCellMar>
          <w:left w:w="0" w:type="dxa"/>
          <w:right w:w="0" w:type="dxa"/>
        </w:tblCellMar>
        <w:tblLook w:val="0000" w:firstRow="0" w:lastRow="0" w:firstColumn="0" w:lastColumn="0" w:noHBand="0" w:noVBand="0"/>
        <w:tblCaption w:val="Decorative alcohol fuelled devices"/>
        <w:tblDescription w:val="Decorative alcohol fuelled devices: Compliant at consultation, Compliant at decision, Final RIS published. Decision Date: 10 July 2017."/>
      </w:tblPr>
      <w:tblGrid>
        <w:gridCol w:w="5104"/>
        <w:gridCol w:w="1417"/>
        <w:gridCol w:w="1249"/>
        <w:gridCol w:w="1104"/>
        <w:gridCol w:w="1105"/>
      </w:tblGrid>
      <w:tr w:rsidR="004D39C7" w:rsidRPr="009F2777" w14:paraId="74AF1DDD" w14:textId="77777777" w:rsidTr="00B22D09">
        <w:trPr>
          <w:trHeight w:val="510"/>
          <w:tblHeader/>
        </w:trPr>
        <w:tc>
          <w:tcPr>
            <w:tcW w:w="5104" w:type="dxa"/>
            <w:shd w:val="clear" w:color="auto" w:fill="F4973F"/>
            <w:vAlign w:val="center"/>
          </w:tcPr>
          <w:p w14:paraId="7F2FFB45" w14:textId="77777777" w:rsidR="004D39C7" w:rsidRPr="009F2777" w:rsidRDefault="004D39C7" w:rsidP="00B22D09">
            <w:pPr>
              <w:pStyle w:val="TableParagraph"/>
              <w:kinsoku w:val="0"/>
              <w:overflowPunct w:val="0"/>
              <w:spacing w:beforeLines="60" w:before="144" w:after="60"/>
              <w:ind w:left="85"/>
              <w:rPr>
                <w:sz w:val="18"/>
                <w:szCs w:val="18"/>
              </w:rPr>
            </w:pPr>
            <w:r w:rsidRPr="009F2777">
              <w:rPr>
                <w:rFonts w:ascii="Arial" w:hAnsi="Arial" w:cs="Arial"/>
                <w:color w:val="FFFFFF"/>
                <w:w w:val="105"/>
                <w:sz w:val="18"/>
                <w:szCs w:val="18"/>
              </w:rPr>
              <w:t>Proposal</w:t>
            </w:r>
          </w:p>
        </w:tc>
        <w:tc>
          <w:tcPr>
            <w:tcW w:w="1417" w:type="dxa"/>
            <w:shd w:val="clear" w:color="auto" w:fill="F4973F"/>
            <w:vAlign w:val="center"/>
          </w:tcPr>
          <w:p w14:paraId="6EC79135" w14:textId="77777777" w:rsidR="004D39C7" w:rsidRPr="009F2777" w:rsidRDefault="004D39C7" w:rsidP="00B22D09">
            <w:pPr>
              <w:pStyle w:val="TableParagraph"/>
              <w:kinsoku w:val="0"/>
              <w:overflowPunct w:val="0"/>
              <w:spacing w:beforeLines="60" w:before="144" w:after="60"/>
              <w:jc w:val="center"/>
              <w:rPr>
                <w:sz w:val="18"/>
                <w:szCs w:val="18"/>
              </w:rPr>
            </w:pPr>
            <w:r w:rsidRPr="009F2777">
              <w:rPr>
                <w:rFonts w:ascii="Arial" w:hAnsi="Arial" w:cs="Arial"/>
                <w:color w:val="FFFFFF"/>
                <w:w w:val="105"/>
                <w:sz w:val="18"/>
                <w:szCs w:val="18"/>
              </w:rPr>
              <w:t>Decision date</w:t>
            </w:r>
          </w:p>
        </w:tc>
        <w:tc>
          <w:tcPr>
            <w:tcW w:w="1249" w:type="dxa"/>
            <w:shd w:val="clear" w:color="auto" w:fill="F4973F"/>
            <w:vAlign w:val="center"/>
          </w:tcPr>
          <w:p w14:paraId="791A83EE" w14:textId="77777777" w:rsidR="004D39C7" w:rsidRPr="009F2777" w:rsidRDefault="004D39C7" w:rsidP="00B22D09">
            <w:pPr>
              <w:pStyle w:val="TableParagraph"/>
              <w:kinsoku w:val="0"/>
              <w:overflowPunct w:val="0"/>
              <w:spacing w:beforeLines="60" w:before="144" w:after="60"/>
              <w:jc w:val="center"/>
              <w:rPr>
                <w:rFonts w:ascii="Arial" w:hAnsi="Arial" w:cs="Arial"/>
                <w:color w:val="FFFFFF"/>
                <w:w w:val="105"/>
                <w:sz w:val="18"/>
                <w:szCs w:val="18"/>
              </w:rPr>
            </w:pPr>
            <w:r w:rsidRPr="009F2777">
              <w:rPr>
                <w:rFonts w:ascii="Arial" w:hAnsi="Arial" w:cs="Arial"/>
                <w:color w:val="FFFFFF"/>
                <w:w w:val="105"/>
                <w:sz w:val="18"/>
                <w:szCs w:val="18"/>
              </w:rPr>
              <w:t>Compliant at consultation</w:t>
            </w:r>
          </w:p>
        </w:tc>
        <w:tc>
          <w:tcPr>
            <w:tcW w:w="1104" w:type="dxa"/>
            <w:shd w:val="clear" w:color="auto" w:fill="F4973F"/>
            <w:vAlign w:val="center"/>
          </w:tcPr>
          <w:p w14:paraId="09442E09" w14:textId="77777777" w:rsidR="004D39C7" w:rsidRPr="009F2777" w:rsidRDefault="004D39C7" w:rsidP="00B22D09">
            <w:pPr>
              <w:pStyle w:val="TableParagraph"/>
              <w:kinsoku w:val="0"/>
              <w:overflowPunct w:val="0"/>
              <w:spacing w:beforeLines="60" w:before="144" w:after="60"/>
              <w:jc w:val="center"/>
              <w:rPr>
                <w:sz w:val="18"/>
                <w:szCs w:val="18"/>
              </w:rPr>
            </w:pPr>
            <w:r w:rsidRPr="009F2777">
              <w:rPr>
                <w:rFonts w:ascii="Arial" w:hAnsi="Arial" w:cs="Arial"/>
                <w:color w:val="FFFFFF"/>
                <w:w w:val="105"/>
                <w:sz w:val="18"/>
                <w:szCs w:val="18"/>
              </w:rPr>
              <w:t>Compliant at decision</w:t>
            </w:r>
          </w:p>
        </w:tc>
        <w:tc>
          <w:tcPr>
            <w:tcW w:w="1105" w:type="dxa"/>
            <w:shd w:val="clear" w:color="auto" w:fill="F4973F"/>
            <w:vAlign w:val="center"/>
          </w:tcPr>
          <w:p w14:paraId="17A6CA64" w14:textId="77777777" w:rsidR="004D39C7" w:rsidRPr="009F2777" w:rsidRDefault="004D39C7" w:rsidP="00B22D09">
            <w:pPr>
              <w:pStyle w:val="TableParagraph"/>
              <w:kinsoku w:val="0"/>
              <w:overflowPunct w:val="0"/>
              <w:spacing w:beforeLines="60" w:before="144" w:after="60"/>
              <w:jc w:val="center"/>
              <w:rPr>
                <w:rFonts w:ascii="Arial" w:hAnsi="Arial" w:cs="Arial"/>
                <w:color w:val="FFFFFF"/>
                <w:w w:val="105"/>
                <w:sz w:val="18"/>
                <w:szCs w:val="18"/>
              </w:rPr>
            </w:pPr>
            <w:r w:rsidRPr="009F2777">
              <w:rPr>
                <w:rFonts w:ascii="Arial" w:hAnsi="Arial" w:cs="Arial"/>
                <w:color w:val="FFFFFF"/>
                <w:w w:val="105"/>
                <w:sz w:val="18"/>
                <w:szCs w:val="18"/>
              </w:rPr>
              <w:t>Final RIS published</w:t>
            </w:r>
          </w:p>
        </w:tc>
      </w:tr>
      <w:tr w:rsidR="004D39C7" w:rsidRPr="003A33CE" w14:paraId="296325CE" w14:textId="77777777" w:rsidTr="00B22D09">
        <w:trPr>
          <w:trHeight w:val="510"/>
          <w:tblHeader/>
        </w:trPr>
        <w:tc>
          <w:tcPr>
            <w:tcW w:w="5104" w:type="dxa"/>
            <w:shd w:val="clear" w:color="auto" w:fill="auto"/>
            <w:vAlign w:val="center"/>
          </w:tcPr>
          <w:p w14:paraId="7D19A8AF" w14:textId="77777777" w:rsidR="004D39C7" w:rsidRPr="003A33CE" w:rsidRDefault="004D39C7" w:rsidP="00B22D09">
            <w:pPr>
              <w:pStyle w:val="TableParagraph"/>
              <w:keepNext/>
              <w:keepLines/>
              <w:kinsoku w:val="0"/>
              <w:overflowPunct w:val="0"/>
              <w:spacing w:beforeLines="60" w:before="144" w:after="120"/>
              <w:ind w:left="79"/>
              <w:rPr>
                <w:rFonts w:ascii="Arial" w:hAnsi="Arial" w:cs="Arial"/>
                <w:b/>
                <w:w w:val="105"/>
                <w:sz w:val="18"/>
                <w:szCs w:val="18"/>
              </w:rPr>
            </w:pPr>
            <w:r w:rsidRPr="003A33CE">
              <w:rPr>
                <w:rFonts w:ascii="Arial" w:hAnsi="Arial" w:cs="Arial"/>
                <w:b/>
                <w:spacing w:val="-3"/>
                <w:sz w:val="18"/>
                <w:szCs w:val="18"/>
              </w:rPr>
              <w:t>Safety Assurance for Automated Driving Systems</w:t>
            </w:r>
          </w:p>
        </w:tc>
        <w:tc>
          <w:tcPr>
            <w:tcW w:w="1417" w:type="dxa"/>
            <w:shd w:val="clear" w:color="auto" w:fill="auto"/>
            <w:vAlign w:val="center"/>
          </w:tcPr>
          <w:p w14:paraId="5C693616" w14:textId="5887AFCC" w:rsidR="004D39C7" w:rsidRPr="003A33CE" w:rsidRDefault="00676F04" w:rsidP="00B22D09">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15 Nov</w:t>
            </w:r>
            <w:r w:rsidR="004D39C7" w:rsidRPr="003A33CE">
              <w:rPr>
                <w:rFonts w:ascii="Arial" w:hAnsi="Arial" w:cs="Arial"/>
                <w:b/>
                <w:w w:val="105"/>
                <w:sz w:val="18"/>
                <w:szCs w:val="18"/>
              </w:rPr>
              <w:t xml:space="preserve"> 18</w:t>
            </w:r>
          </w:p>
        </w:tc>
        <w:tc>
          <w:tcPr>
            <w:tcW w:w="1249" w:type="dxa"/>
            <w:shd w:val="clear" w:color="auto" w:fill="auto"/>
            <w:vAlign w:val="center"/>
          </w:tcPr>
          <w:p w14:paraId="4B4CD537" w14:textId="77777777" w:rsidR="004D39C7" w:rsidRPr="003A33CE" w:rsidRDefault="004D39C7" w:rsidP="00B22D09">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Yes</w:t>
            </w:r>
          </w:p>
        </w:tc>
        <w:tc>
          <w:tcPr>
            <w:tcW w:w="1104" w:type="dxa"/>
            <w:shd w:val="clear" w:color="auto" w:fill="auto"/>
            <w:vAlign w:val="center"/>
          </w:tcPr>
          <w:p w14:paraId="5D9C760C" w14:textId="77777777" w:rsidR="004D39C7" w:rsidRPr="003A33CE" w:rsidRDefault="004D39C7" w:rsidP="00B22D09">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Yes</w:t>
            </w:r>
          </w:p>
        </w:tc>
        <w:tc>
          <w:tcPr>
            <w:tcW w:w="1105" w:type="dxa"/>
            <w:shd w:val="clear" w:color="auto" w:fill="auto"/>
            <w:vAlign w:val="center"/>
          </w:tcPr>
          <w:p w14:paraId="566986BF" w14:textId="1C39D50D" w:rsidR="004D39C7" w:rsidRPr="003A33CE" w:rsidRDefault="00676F04" w:rsidP="00B22D09">
            <w:pPr>
              <w:pStyle w:val="TableParagraph"/>
              <w:kinsoku w:val="0"/>
              <w:overflowPunct w:val="0"/>
              <w:spacing w:beforeLines="60" w:before="144" w:after="60"/>
              <w:jc w:val="center"/>
              <w:rPr>
                <w:rFonts w:ascii="Arial" w:hAnsi="Arial" w:cs="Arial"/>
                <w:b/>
                <w:w w:val="105"/>
                <w:sz w:val="18"/>
                <w:szCs w:val="18"/>
              </w:rPr>
            </w:pPr>
            <w:r w:rsidRPr="003A33CE">
              <w:rPr>
                <w:rFonts w:ascii="Arial" w:hAnsi="Arial" w:cs="Arial"/>
                <w:b/>
                <w:w w:val="105"/>
                <w:sz w:val="18"/>
                <w:szCs w:val="18"/>
              </w:rPr>
              <w:t>28 Feb 19</w:t>
            </w:r>
          </w:p>
        </w:tc>
      </w:tr>
    </w:tbl>
    <w:p w14:paraId="5BAE1033" w14:textId="77777777" w:rsidR="004D39C7" w:rsidRPr="00433846" w:rsidRDefault="004D39C7" w:rsidP="004D39C7">
      <w:pPr>
        <w:pStyle w:val="TableParagraph"/>
        <w:keepNext/>
        <w:keepLines/>
        <w:kinsoku w:val="0"/>
        <w:overflowPunct w:val="0"/>
        <w:spacing w:after="120"/>
        <w:ind w:left="142"/>
        <w:rPr>
          <w:rFonts w:ascii="Arial" w:hAnsi="Arial" w:cs="Arial"/>
          <w:spacing w:val="-3"/>
          <w:sz w:val="18"/>
          <w:szCs w:val="18"/>
        </w:rPr>
      </w:pPr>
      <w:r w:rsidRPr="00433846">
        <w:rPr>
          <w:rFonts w:ascii="Arial" w:hAnsi="Arial" w:cs="Arial"/>
          <w:spacing w:val="-3"/>
          <w:sz w:val="18"/>
          <w:szCs w:val="18"/>
        </w:rPr>
        <w:t xml:space="preserve">Endorsed the Safety Assurance approach for the introduction of automated vehicles in Australia at first supply. The RIS identified and assessed options to address these risks including a safety assurance system based on mandatory self-certification and an option containing a primary safety duty on entities responsible for the Automatic Driving Systems (ADS). </w:t>
      </w:r>
    </w:p>
    <w:p w14:paraId="0911114A" w14:textId="77777777" w:rsidR="004D39C7" w:rsidRPr="004D39C7" w:rsidRDefault="004D39C7" w:rsidP="004D39C7"/>
    <w:p w14:paraId="612CFBE9" w14:textId="77777777" w:rsidR="004D39C7" w:rsidRPr="004D39C7" w:rsidRDefault="004D39C7" w:rsidP="004D39C7"/>
    <w:p w14:paraId="5DEEB724" w14:textId="77777777" w:rsidR="004D39C7" w:rsidRPr="004D39C7" w:rsidRDefault="004D39C7" w:rsidP="004D39C7"/>
    <w:p w14:paraId="30531297" w14:textId="77777777" w:rsidR="004D39C7" w:rsidRPr="004D39C7" w:rsidRDefault="004D39C7" w:rsidP="004D39C7"/>
    <w:p w14:paraId="6E0EB951" w14:textId="77777777" w:rsidR="004D39C7" w:rsidRPr="004D39C7" w:rsidRDefault="004D39C7" w:rsidP="004D39C7"/>
    <w:p w14:paraId="7C667833" w14:textId="77777777" w:rsidR="004D39C7" w:rsidRPr="004D39C7" w:rsidRDefault="004D39C7" w:rsidP="004D39C7"/>
    <w:p w14:paraId="5BBC52E3" w14:textId="77777777" w:rsidR="004D39C7" w:rsidRPr="004D39C7" w:rsidRDefault="004D39C7" w:rsidP="004D39C7"/>
    <w:p w14:paraId="2D03C651" w14:textId="77777777" w:rsidR="004D39C7" w:rsidRPr="004D39C7" w:rsidRDefault="004D39C7" w:rsidP="004D39C7"/>
    <w:p w14:paraId="7F03993D" w14:textId="77777777" w:rsidR="004D39C7" w:rsidRPr="004D39C7" w:rsidRDefault="004D39C7" w:rsidP="004D39C7"/>
    <w:p w14:paraId="23D4920B" w14:textId="6F99D5BF" w:rsidR="004D39C7" w:rsidRPr="004D39C7" w:rsidRDefault="004D39C7" w:rsidP="004D39C7"/>
    <w:p w14:paraId="460F8129" w14:textId="04D72B1A" w:rsidR="00904B60" w:rsidRDefault="00904B60" w:rsidP="0085533A">
      <w:pPr>
        <w:pStyle w:val="Heading2"/>
        <w:keepNext/>
        <w:keepLines/>
        <w:widowControl w:val="0"/>
        <w:ind w:left="0" w:firstLine="0"/>
      </w:pPr>
      <w:bookmarkStart w:id="327" w:name="_Toc20384876"/>
      <w:r>
        <w:lastRenderedPageBreak/>
        <w:t>Appendix A - RISs prepared for consultation in 2018-19</w:t>
      </w:r>
      <w:bookmarkEnd w:id="327"/>
    </w:p>
    <w:p w14:paraId="5BDAEAA5" w14:textId="03F23380" w:rsidR="00904B60" w:rsidRDefault="00904B60" w:rsidP="0085533A">
      <w:pPr>
        <w:pStyle w:val="BodyText1"/>
        <w:keepNext/>
        <w:keepLines/>
        <w:widowControl w:val="0"/>
      </w:pPr>
      <w:bookmarkStart w:id="328" w:name="_Toc432587379"/>
      <w:bookmarkStart w:id="329" w:name="_Toc432175595"/>
      <w:bookmarkStart w:id="330" w:name="_Toc428440455"/>
      <w:bookmarkStart w:id="331" w:name="_Toc428440028"/>
      <w:bookmarkStart w:id="332" w:name="_Toc424049626"/>
      <w:bookmarkStart w:id="333" w:name="_Toc419707558"/>
      <w:bookmarkStart w:id="334" w:name="_Toc473715465"/>
      <w:bookmarkStart w:id="335" w:name="_Toc459800321"/>
      <w:bookmarkStart w:id="336" w:name="_Toc451264807"/>
      <w:bookmarkStart w:id="337" w:name="_Toc451264240"/>
      <w:bookmarkStart w:id="338" w:name="_Toc451168646"/>
      <w:bookmarkStart w:id="339" w:name="_Toc447532697"/>
      <w:bookmarkStart w:id="340" w:name="_Toc446318438"/>
      <w:bookmarkStart w:id="341" w:name="_Toc445974404"/>
      <w:bookmarkStart w:id="342" w:name="_Toc445974143"/>
      <w:bookmarkStart w:id="343" w:name="_Toc445973445"/>
      <w:bookmarkStart w:id="344" w:name="_Toc440639816"/>
      <w:bookmarkStart w:id="345" w:name="_Toc438539631"/>
      <w:r>
        <w:t xml:space="preserve">The following </w:t>
      </w:r>
      <w:r w:rsidR="00C2474A">
        <w:t>Council of Australian Governments (</w:t>
      </w:r>
      <w:r>
        <w:t>COAG</w:t>
      </w:r>
      <w:r w:rsidR="00C2474A">
        <w:t>)</w:t>
      </w:r>
      <w:r>
        <w:t xml:space="preserve"> consultation RISs have been published </w:t>
      </w:r>
      <w:bookmarkEnd w:id="328"/>
      <w:bookmarkEnd w:id="329"/>
      <w:bookmarkEnd w:id="330"/>
      <w:bookmarkEnd w:id="331"/>
      <w:bookmarkEnd w:id="332"/>
      <w:bookmarkEnd w:id="333"/>
      <w:r>
        <w:t xml:space="preserve">for consultation </w:t>
      </w:r>
      <w:bookmarkEnd w:id="334"/>
      <w:bookmarkEnd w:id="335"/>
      <w:bookmarkEnd w:id="336"/>
      <w:bookmarkEnd w:id="337"/>
      <w:bookmarkEnd w:id="338"/>
      <w:bookmarkEnd w:id="339"/>
      <w:bookmarkEnd w:id="340"/>
      <w:bookmarkEnd w:id="341"/>
      <w:bookmarkEnd w:id="342"/>
      <w:bookmarkEnd w:id="343"/>
      <w:bookmarkEnd w:id="344"/>
      <w:bookmarkEnd w:id="345"/>
      <w:r w:rsidR="00C83BEF">
        <w:t>in 2018-19.</w:t>
      </w:r>
    </w:p>
    <w:tbl>
      <w:tblPr>
        <w:tblW w:w="10207" w:type="dxa"/>
        <w:tblInd w:w="-142" w:type="dxa"/>
        <w:tblLayout w:type="fixed"/>
        <w:tblCellMar>
          <w:left w:w="0" w:type="dxa"/>
          <w:right w:w="0" w:type="dxa"/>
        </w:tblCellMar>
        <w:tblLook w:val="04A0" w:firstRow="1" w:lastRow="0" w:firstColumn="1" w:lastColumn="0" w:noHBand="0" w:noVBand="1"/>
      </w:tblPr>
      <w:tblGrid>
        <w:gridCol w:w="5104"/>
        <w:gridCol w:w="2976"/>
        <w:gridCol w:w="1985"/>
        <w:gridCol w:w="142"/>
      </w:tblGrid>
      <w:tr w:rsidR="00C2474A" w14:paraId="5D77B508" w14:textId="77777777" w:rsidTr="004D39C7">
        <w:trPr>
          <w:gridAfter w:val="1"/>
          <w:wAfter w:w="142" w:type="dxa"/>
          <w:trHeight w:val="510"/>
          <w:tblHeader/>
        </w:trPr>
        <w:tc>
          <w:tcPr>
            <w:tcW w:w="5104" w:type="dxa"/>
            <w:shd w:val="clear" w:color="auto" w:fill="F4973F"/>
            <w:vAlign w:val="center"/>
            <w:hideMark/>
          </w:tcPr>
          <w:p w14:paraId="58AB4B6E" w14:textId="77777777" w:rsidR="00C2474A" w:rsidRDefault="00C2474A" w:rsidP="0002781C">
            <w:pPr>
              <w:pStyle w:val="TableParagraph"/>
              <w:keepNext/>
              <w:keepLines/>
              <w:kinsoku w:val="0"/>
              <w:overflowPunct w:val="0"/>
              <w:spacing w:beforeLines="60" w:before="144" w:after="120"/>
              <w:ind w:left="79"/>
              <w:rPr>
                <w:rFonts w:ascii="Arial" w:hAnsi="Arial" w:cs="Arial"/>
                <w:color w:val="FFFFFF"/>
                <w:w w:val="105"/>
                <w:sz w:val="18"/>
                <w:szCs w:val="18"/>
              </w:rPr>
            </w:pPr>
            <w:r>
              <w:rPr>
                <w:rFonts w:ascii="Arial" w:hAnsi="Arial" w:cs="Arial"/>
                <w:color w:val="FFFFFF"/>
                <w:w w:val="105"/>
                <w:sz w:val="18"/>
                <w:szCs w:val="18"/>
              </w:rPr>
              <w:t>Proposal</w:t>
            </w:r>
          </w:p>
        </w:tc>
        <w:tc>
          <w:tcPr>
            <w:tcW w:w="2976" w:type="dxa"/>
            <w:shd w:val="clear" w:color="auto" w:fill="F4973F"/>
            <w:vAlign w:val="center"/>
            <w:hideMark/>
          </w:tcPr>
          <w:p w14:paraId="3E798F2E" w14:textId="77777777" w:rsidR="00C2474A" w:rsidRDefault="00C2474A" w:rsidP="0002781C">
            <w:pPr>
              <w:pStyle w:val="TableParagraph"/>
              <w:keepNext/>
              <w:keepLines/>
              <w:kinsoku w:val="0"/>
              <w:overflowPunct w:val="0"/>
              <w:spacing w:beforeLines="60" w:before="144" w:after="120"/>
              <w:jc w:val="center"/>
            </w:pPr>
            <w:r>
              <w:rPr>
                <w:rFonts w:ascii="Arial" w:hAnsi="Arial" w:cs="Arial"/>
                <w:color w:val="FFFFFF"/>
                <w:w w:val="105"/>
                <w:sz w:val="18"/>
                <w:szCs w:val="18"/>
              </w:rPr>
              <w:t>Decision-making body</w:t>
            </w:r>
          </w:p>
        </w:tc>
        <w:tc>
          <w:tcPr>
            <w:tcW w:w="1985" w:type="dxa"/>
            <w:shd w:val="clear" w:color="auto" w:fill="F4973F"/>
            <w:vAlign w:val="center"/>
            <w:hideMark/>
          </w:tcPr>
          <w:p w14:paraId="5876B7D8" w14:textId="77777777" w:rsidR="00C2474A" w:rsidRDefault="00C2474A" w:rsidP="0002781C">
            <w:pPr>
              <w:pStyle w:val="TableParagraph"/>
              <w:keepNext/>
              <w:keepLines/>
              <w:kinsoku w:val="0"/>
              <w:overflowPunct w:val="0"/>
              <w:spacing w:beforeLines="60" w:before="144" w:after="120"/>
              <w:jc w:val="center"/>
              <w:rPr>
                <w:rFonts w:ascii="Arial" w:hAnsi="Arial" w:cs="Arial"/>
                <w:color w:val="FFFFFF"/>
                <w:w w:val="105"/>
                <w:sz w:val="18"/>
                <w:szCs w:val="18"/>
              </w:rPr>
            </w:pPr>
            <w:r>
              <w:rPr>
                <w:rFonts w:ascii="Arial" w:hAnsi="Arial" w:cs="Arial"/>
                <w:color w:val="FFFFFF"/>
                <w:w w:val="105"/>
                <w:sz w:val="18"/>
                <w:szCs w:val="18"/>
              </w:rPr>
              <w:t>Closing date</w:t>
            </w:r>
          </w:p>
        </w:tc>
      </w:tr>
      <w:tr w:rsidR="004D39C7" w:rsidRPr="004D39C7" w14:paraId="09CADD01" w14:textId="77777777" w:rsidTr="004D39C7">
        <w:trPr>
          <w:trHeight w:val="510"/>
          <w:tblHeader/>
        </w:trPr>
        <w:tc>
          <w:tcPr>
            <w:tcW w:w="5104" w:type="dxa"/>
            <w:shd w:val="clear" w:color="auto" w:fill="auto"/>
            <w:vAlign w:val="center"/>
          </w:tcPr>
          <w:p w14:paraId="1D72A335" w14:textId="77777777" w:rsidR="004D39C7" w:rsidRPr="00B461B0" w:rsidRDefault="004D39C7" w:rsidP="004D39C7">
            <w:pPr>
              <w:keepNext/>
              <w:keepLines/>
              <w:widowControl w:val="0"/>
              <w:kinsoku w:val="0"/>
              <w:overflowPunct w:val="0"/>
              <w:autoSpaceDE w:val="0"/>
              <w:autoSpaceDN w:val="0"/>
              <w:adjustRightInd w:val="0"/>
              <w:spacing w:beforeLines="60" w:before="144" w:after="120" w:line="240" w:lineRule="auto"/>
              <w:ind w:left="79"/>
              <w:rPr>
                <w:rFonts w:eastAsia="MS Mincho" w:cs="Arial"/>
                <w:b/>
                <w:spacing w:val="-3"/>
                <w:sz w:val="18"/>
                <w:szCs w:val="18"/>
                <w:lang w:eastAsia="en-AU"/>
              </w:rPr>
            </w:pPr>
            <w:r w:rsidRPr="00B461B0">
              <w:rPr>
                <w:rFonts w:eastAsia="MS Mincho" w:cs="Arial"/>
                <w:b/>
                <w:spacing w:val="-3"/>
                <w:sz w:val="18"/>
                <w:szCs w:val="18"/>
                <w:lang w:eastAsia="en-AU"/>
              </w:rPr>
              <w:t xml:space="preserve">National Energy Guarantee </w:t>
            </w:r>
          </w:p>
        </w:tc>
        <w:tc>
          <w:tcPr>
            <w:tcW w:w="2976" w:type="dxa"/>
            <w:shd w:val="clear" w:color="auto" w:fill="auto"/>
            <w:vAlign w:val="center"/>
          </w:tcPr>
          <w:p w14:paraId="51EBE88B" w14:textId="77777777" w:rsidR="004D39C7" w:rsidRPr="00B461B0" w:rsidRDefault="004D39C7" w:rsidP="004D39C7">
            <w:pPr>
              <w:keepNext/>
              <w:keepLines/>
              <w:widowControl w:val="0"/>
              <w:kinsoku w:val="0"/>
              <w:overflowPunct w:val="0"/>
              <w:autoSpaceDE w:val="0"/>
              <w:autoSpaceDN w:val="0"/>
              <w:adjustRightInd w:val="0"/>
              <w:spacing w:beforeLines="60" w:before="144" w:after="120" w:line="240" w:lineRule="auto"/>
              <w:jc w:val="center"/>
              <w:rPr>
                <w:rFonts w:eastAsia="MS Mincho" w:cs="Arial"/>
                <w:b/>
                <w:spacing w:val="-3"/>
                <w:sz w:val="18"/>
                <w:szCs w:val="18"/>
                <w:lang w:eastAsia="en-AU"/>
              </w:rPr>
            </w:pPr>
            <w:r w:rsidRPr="00B461B0">
              <w:rPr>
                <w:rFonts w:eastAsia="MS Mincho" w:cs="Arial"/>
                <w:b/>
                <w:sz w:val="18"/>
                <w:szCs w:val="18"/>
                <w:lang w:eastAsia="en-AU"/>
              </w:rPr>
              <w:t>COAG Energy Council</w:t>
            </w:r>
          </w:p>
        </w:tc>
        <w:tc>
          <w:tcPr>
            <w:tcW w:w="2127" w:type="dxa"/>
            <w:gridSpan w:val="2"/>
            <w:shd w:val="clear" w:color="auto" w:fill="auto"/>
            <w:vAlign w:val="center"/>
          </w:tcPr>
          <w:p w14:paraId="6244F07D" w14:textId="77777777" w:rsidR="004D39C7" w:rsidRPr="00B461B0" w:rsidRDefault="004D39C7" w:rsidP="00C83BEF">
            <w:pPr>
              <w:pStyle w:val="TableParagraph"/>
              <w:keepNext/>
              <w:keepLines/>
              <w:kinsoku w:val="0"/>
              <w:overflowPunct w:val="0"/>
              <w:spacing w:beforeLines="60" w:before="144" w:after="120"/>
              <w:jc w:val="center"/>
              <w:rPr>
                <w:rFonts w:cs="Arial"/>
                <w:b/>
                <w:spacing w:val="-3"/>
                <w:sz w:val="18"/>
                <w:szCs w:val="18"/>
              </w:rPr>
            </w:pPr>
            <w:r w:rsidRPr="00B461B0">
              <w:rPr>
                <w:rFonts w:ascii="Arial" w:hAnsi="Arial" w:cs="Arial"/>
                <w:b/>
                <w:spacing w:val="-3"/>
                <w:sz w:val="18"/>
                <w:szCs w:val="18"/>
              </w:rPr>
              <w:t>13 July 2018</w:t>
            </w:r>
          </w:p>
        </w:tc>
      </w:tr>
    </w:tbl>
    <w:p w14:paraId="4BB35A9D" w14:textId="5E55BA74" w:rsidR="004D39C7" w:rsidRDefault="004D39C7" w:rsidP="00C83BEF">
      <w:pPr>
        <w:keepNext/>
        <w:keepLines/>
        <w:widowControl w:val="0"/>
        <w:kinsoku w:val="0"/>
        <w:overflowPunct w:val="0"/>
        <w:autoSpaceDE w:val="0"/>
        <w:autoSpaceDN w:val="0"/>
        <w:adjustRightInd w:val="0"/>
        <w:spacing w:after="120" w:line="240" w:lineRule="auto"/>
        <w:ind w:left="142"/>
        <w:rPr>
          <w:rFonts w:eastAsia="MS Mincho" w:cs="Arial"/>
          <w:spacing w:val="-3"/>
          <w:sz w:val="18"/>
          <w:szCs w:val="18"/>
          <w:lang w:eastAsia="en-AU"/>
        </w:rPr>
      </w:pPr>
      <w:r w:rsidRPr="004D39C7">
        <w:rPr>
          <w:rFonts w:eastAsia="MS Mincho" w:cs="Arial"/>
          <w:spacing w:val="-3"/>
          <w:sz w:val="18"/>
          <w:szCs w:val="18"/>
          <w:lang w:eastAsia="en-AU"/>
        </w:rPr>
        <w:t>The COAG Energy Council released a consultation RIS to explore possible options for addressing climate and energy policy issues in the National Electricity Market. The RIS examines options including the status quo, a National Energy Guarantee and a Physically Backed Contracts option. The RIS responds to issues around maintaining energy reliability, lowering emissions in line with international policy commitments and improving affordability.</w:t>
      </w:r>
    </w:p>
    <w:tbl>
      <w:tblPr>
        <w:tblW w:w="10065" w:type="dxa"/>
        <w:tblInd w:w="-142" w:type="dxa"/>
        <w:tblLayout w:type="fixed"/>
        <w:tblCellMar>
          <w:left w:w="0" w:type="dxa"/>
          <w:right w:w="0" w:type="dxa"/>
        </w:tblCellMar>
        <w:tblLook w:val="04A0" w:firstRow="1" w:lastRow="0" w:firstColumn="1" w:lastColumn="0" w:noHBand="0" w:noVBand="1"/>
      </w:tblPr>
      <w:tblGrid>
        <w:gridCol w:w="5104"/>
        <w:gridCol w:w="2976"/>
        <w:gridCol w:w="1985"/>
      </w:tblGrid>
      <w:tr w:rsidR="00C83BEF" w:rsidRPr="00E74ED3" w14:paraId="406629A6" w14:textId="77777777" w:rsidTr="00225B0A">
        <w:trPr>
          <w:trHeight w:val="510"/>
          <w:tblHeader/>
        </w:trPr>
        <w:tc>
          <w:tcPr>
            <w:tcW w:w="5104" w:type="dxa"/>
            <w:shd w:val="clear" w:color="auto" w:fill="auto"/>
            <w:vAlign w:val="center"/>
          </w:tcPr>
          <w:p w14:paraId="451DCB6C" w14:textId="77777777" w:rsidR="00C83BEF" w:rsidRPr="00B461B0" w:rsidRDefault="00C83BEF" w:rsidP="00225B0A">
            <w:pPr>
              <w:pStyle w:val="TableParagraph"/>
              <w:keepNext/>
              <w:keepLines/>
              <w:kinsoku w:val="0"/>
              <w:overflowPunct w:val="0"/>
              <w:spacing w:beforeLines="60" w:before="144" w:after="120"/>
              <w:ind w:left="79"/>
              <w:rPr>
                <w:rFonts w:ascii="Arial" w:hAnsi="Arial" w:cs="Arial"/>
                <w:b/>
                <w:spacing w:val="-3"/>
                <w:sz w:val="18"/>
                <w:szCs w:val="18"/>
              </w:rPr>
            </w:pPr>
            <w:r w:rsidRPr="00B461B0">
              <w:rPr>
                <w:rFonts w:ascii="Arial" w:hAnsi="Arial" w:cs="Arial"/>
                <w:b/>
                <w:spacing w:val="-3"/>
                <w:sz w:val="18"/>
                <w:szCs w:val="18"/>
              </w:rPr>
              <w:t xml:space="preserve">Independent Price Regulation of Heavy Vehicle Charges </w:t>
            </w:r>
          </w:p>
        </w:tc>
        <w:tc>
          <w:tcPr>
            <w:tcW w:w="2976" w:type="dxa"/>
            <w:shd w:val="clear" w:color="auto" w:fill="auto"/>
            <w:vAlign w:val="center"/>
          </w:tcPr>
          <w:p w14:paraId="2311C202" w14:textId="77777777" w:rsidR="00C83BEF" w:rsidRPr="00B461B0" w:rsidRDefault="00C83BEF" w:rsidP="00225B0A">
            <w:pPr>
              <w:pStyle w:val="TableParagraph"/>
              <w:keepNext/>
              <w:keepLines/>
              <w:kinsoku w:val="0"/>
              <w:overflowPunct w:val="0"/>
              <w:spacing w:beforeLines="60" w:before="144" w:after="120"/>
              <w:jc w:val="center"/>
              <w:rPr>
                <w:rFonts w:ascii="Arial" w:hAnsi="Arial" w:cs="Arial"/>
                <w:b/>
                <w:spacing w:val="-3"/>
                <w:sz w:val="18"/>
                <w:szCs w:val="18"/>
              </w:rPr>
            </w:pPr>
            <w:r w:rsidRPr="00B461B0">
              <w:rPr>
                <w:rFonts w:ascii="Arial" w:hAnsi="Arial" w:cs="Arial"/>
                <w:b/>
                <w:spacing w:val="-3"/>
                <w:sz w:val="18"/>
                <w:szCs w:val="18"/>
              </w:rPr>
              <w:t xml:space="preserve">Transport Infrastructure Council </w:t>
            </w:r>
          </w:p>
        </w:tc>
        <w:tc>
          <w:tcPr>
            <w:tcW w:w="1985" w:type="dxa"/>
            <w:shd w:val="clear" w:color="auto" w:fill="auto"/>
            <w:vAlign w:val="center"/>
          </w:tcPr>
          <w:p w14:paraId="7B4C7D0C" w14:textId="77777777" w:rsidR="00C83BEF" w:rsidRPr="00B461B0" w:rsidRDefault="00C83BEF" w:rsidP="00225B0A">
            <w:pPr>
              <w:pStyle w:val="TableParagraph"/>
              <w:keepNext/>
              <w:keepLines/>
              <w:kinsoku w:val="0"/>
              <w:overflowPunct w:val="0"/>
              <w:spacing w:beforeLines="60" w:before="144" w:after="120"/>
              <w:jc w:val="center"/>
              <w:rPr>
                <w:rFonts w:ascii="Arial" w:hAnsi="Arial" w:cs="Arial"/>
                <w:b/>
                <w:spacing w:val="-3"/>
                <w:sz w:val="18"/>
                <w:szCs w:val="18"/>
              </w:rPr>
            </w:pPr>
            <w:r w:rsidRPr="00B461B0">
              <w:rPr>
                <w:rFonts w:ascii="Arial" w:hAnsi="Arial" w:cs="Arial"/>
                <w:b/>
                <w:spacing w:val="-3"/>
                <w:sz w:val="18"/>
                <w:szCs w:val="18"/>
              </w:rPr>
              <w:t>31 Aug 2018</w:t>
            </w:r>
          </w:p>
        </w:tc>
      </w:tr>
    </w:tbl>
    <w:p w14:paraId="2A589B8C" w14:textId="77777777" w:rsidR="00C83BEF" w:rsidRPr="00C83BEF" w:rsidRDefault="00C83BEF" w:rsidP="00C83BEF">
      <w:pPr>
        <w:pStyle w:val="TableParagraph"/>
        <w:keepNext/>
        <w:keepLines/>
        <w:kinsoku w:val="0"/>
        <w:overflowPunct w:val="0"/>
        <w:spacing w:after="120"/>
        <w:ind w:left="142"/>
        <w:rPr>
          <w:rFonts w:ascii="Arial" w:hAnsi="Arial" w:cs="Arial"/>
          <w:spacing w:val="-3"/>
          <w:sz w:val="18"/>
          <w:szCs w:val="18"/>
        </w:rPr>
      </w:pPr>
      <w:r w:rsidRPr="0085533A">
        <w:rPr>
          <w:rFonts w:ascii="Arial" w:hAnsi="Arial" w:cs="Arial"/>
          <w:spacing w:val="-3"/>
          <w:sz w:val="18"/>
          <w:szCs w:val="18"/>
        </w:rPr>
        <w:t xml:space="preserve">The Transport and Infrastructure Council of </w:t>
      </w:r>
      <w:r>
        <w:rPr>
          <w:rFonts w:ascii="Arial" w:hAnsi="Arial" w:cs="Arial"/>
          <w:spacing w:val="-3"/>
          <w:sz w:val="18"/>
          <w:szCs w:val="18"/>
        </w:rPr>
        <w:t>COAG</w:t>
      </w:r>
      <w:r w:rsidRPr="0085533A">
        <w:rPr>
          <w:rFonts w:ascii="Arial" w:hAnsi="Arial" w:cs="Arial"/>
          <w:spacing w:val="-3"/>
          <w:sz w:val="18"/>
          <w:szCs w:val="18"/>
        </w:rPr>
        <w:t xml:space="preserve"> released a </w:t>
      </w:r>
      <w:r>
        <w:rPr>
          <w:rFonts w:ascii="Arial" w:hAnsi="Arial" w:cs="Arial"/>
          <w:spacing w:val="-3"/>
          <w:sz w:val="18"/>
          <w:szCs w:val="18"/>
        </w:rPr>
        <w:t>c</w:t>
      </w:r>
      <w:r w:rsidRPr="0085533A">
        <w:rPr>
          <w:rFonts w:ascii="Arial" w:hAnsi="Arial" w:cs="Arial"/>
          <w:spacing w:val="-3"/>
          <w:sz w:val="18"/>
          <w:szCs w:val="18"/>
        </w:rPr>
        <w:t>onsultati</w:t>
      </w:r>
      <w:r>
        <w:rPr>
          <w:rFonts w:ascii="Arial" w:hAnsi="Arial" w:cs="Arial"/>
          <w:spacing w:val="-3"/>
          <w:sz w:val="18"/>
          <w:szCs w:val="18"/>
        </w:rPr>
        <w:t>on RIS</w:t>
      </w:r>
      <w:r w:rsidRPr="0085533A">
        <w:rPr>
          <w:rFonts w:ascii="Arial" w:hAnsi="Arial" w:cs="Arial"/>
          <w:spacing w:val="-3"/>
          <w:sz w:val="18"/>
          <w:szCs w:val="18"/>
        </w:rPr>
        <w:t xml:space="preserve"> to explore the costs and benefits of options for the implementation of independent price regul</w:t>
      </w:r>
      <w:r>
        <w:rPr>
          <w:rFonts w:ascii="Arial" w:hAnsi="Arial" w:cs="Arial"/>
          <w:spacing w:val="-3"/>
          <w:sz w:val="18"/>
          <w:szCs w:val="18"/>
        </w:rPr>
        <w:t xml:space="preserve">ation of heavy vehicle charges. </w:t>
      </w:r>
      <w:r w:rsidRPr="0085533A">
        <w:rPr>
          <w:rFonts w:ascii="Arial" w:hAnsi="Arial" w:cs="Arial"/>
          <w:spacing w:val="-3"/>
          <w:sz w:val="18"/>
          <w:szCs w:val="18"/>
        </w:rPr>
        <w:t>The desired objective of the reform program is to improve customer focus for heavy vehicle road users, linking their needs with the level of service they receive, the charges they pay and the investment of those charges back in</w:t>
      </w:r>
      <w:r>
        <w:rPr>
          <w:rFonts w:ascii="Arial" w:hAnsi="Arial" w:cs="Arial"/>
          <w:spacing w:val="-3"/>
          <w:sz w:val="18"/>
          <w:szCs w:val="18"/>
        </w:rPr>
        <w:t>to heavy vehicle road services.</w:t>
      </w:r>
    </w:p>
    <w:tbl>
      <w:tblPr>
        <w:tblW w:w="10207" w:type="dxa"/>
        <w:tblInd w:w="-142" w:type="dxa"/>
        <w:tblLayout w:type="fixed"/>
        <w:tblCellMar>
          <w:left w:w="0" w:type="dxa"/>
          <w:right w:w="0" w:type="dxa"/>
        </w:tblCellMar>
        <w:tblLook w:val="04A0" w:firstRow="1" w:lastRow="0" w:firstColumn="1" w:lastColumn="0" w:noHBand="0" w:noVBand="1"/>
      </w:tblPr>
      <w:tblGrid>
        <w:gridCol w:w="5104"/>
        <w:gridCol w:w="2976"/>
        <w:gridCol w:w="2127"/>
      </w:tblGrid>
      <w:tr w:rsidR="00C83BEF" w:rsidRPr="00E74ED3" w14:paraId="0BADBD32" w14:textId="77777777" w:rsidTr="00225B0A">
        <w:trPr>
          <w:trHeight w:val="510"/>
          <w:tblHeader/>
        </w:trPr>
        <w:tc>
          <w:tcPr>
            <w:tcW w:w="5104" w:type="dxa"/>
            <w:shd w:val="clear" w:color="auto" w:fill="auto"/>
            <w:vAlign w:val="center"/>
          </w:tcPr>
          <w:p w14:paraId="24542653" w14:textId="77777777" w:rsidR="00C83BEF" w:rsidRPr="00B461B0" w:rsidRDefault="00C83BEF" w:rsidP="00225B0A">
            <w:pPr>
              <w:pStyle w:val="TableParagraph"/>
              <w:keepNext/>
              <w:keepLines/>
              <w:kinsoku w:val="0"/>
              <w:overflowPunct w:val="0"/>
              <w:spacing w:beforeLines="60" w:before="144" w:after="120"/>
              <w:ind w:left="79"/>
              <w:rPr>
                <w:rFonts w:ascii="Arial" w:hAnsi="Arial" w:cs="Arial"/>
                <w:b/>
                <w:spacing w:val="-3"/>
                <w:sz w:val="18"/>
                <w:szCs w:val="18"/>
              </w:rPr>
            </w:pPr>
            <w:r w:rsidRPr="00B461B0">
              <w:rPr>
                <w:rFonts w:ascii="Arial" w:hAnsi="Arial" w:cs="Arial"/>
                <w:b/>
                <w:spacing w:val="-3"/>
                <w:sz w:val="18"/>
                <w:szCs w:val="18"/>
              </w:rPr>
              <w:t>Western Australian Container Deposit Scheme</w:t>
            </w:r>
          </w:p>
        </w:tc>
        <w:tc>
          <w:tcPr>
            <w:tcW w:w="2976" w:type="dxa"/>
            <w:shd w:val="clear" w:color="auto" w:fill="auto"/>
            <w:vAlign w:val="center"/>
          </w:tcPr>
          <w:p w14:paraId="4B4EF72C" w14:textId="77777777" w:rsidR="00C83BEF" w:rsidRPr="00B461B0" w:rsidRDefault="00C83BEF" w:rsidP="00225B0A">
            <w:pPr>
              <w:pStyle w:val="TableParagraph"/>
              <w:keepNext/>
              <w:keepLines/>
              <w:kinsoku w:val="0"/>
              <w:overflowPunct w:val="0"/>
              <w:spacing w:beforeLines="60" w:before="144" w:after="120"/>
              <w:jc w:val="center"/>
              <w:rPr>
                <w:rFonts w:ascii="Arial" w:hAnsi="Arial" w:cs="Arial"/>
                <w:b/>
                <w:spacing w:val="-3"/>
                <w:sz w:val="18"/>
                <w:szCs w:val="18"/>
              </w:rPr>
            </w:pPr>
            <w:r w:rsidRPr="00B461B0">
              <w:rPr>
                <w:rFonts w:ascii="Arial" w:hAnsi="Arial" w:cs="Arial"/>
                <w:b/>
                <w:spacing w:val="-3"/>
                <w:sz w:val="18"/>
                <w:szCs w:val="18"/>
              </w:rPr>
              <w:t xml:space="preserve">WA Department of Water </w:t>
            </w:r>
            <w:r w:rsidRPr="00B461B0">
              <w:rPr>
                <w:rFonts w:ascii="Arial" w:hAnsi="Arial" w:cs="Arial"/>
                <w:b/>
                <w:spacing w:val="-3"/>
                <w:sz w:val="18"/>
                <w:szCs w:val="18"/>
              </w:rPr>
              <w:br/>
              <w:t>and Environmental regulation</w:t>
            </w:r>
          </w:p>
        </w:tc>
        <w:tc>
          <w:tcPr>
            <w:tcW w:w="2127" w:type="dxa"/>
            <w:shd w:val="clear" w:color="auto" w:fill="auto"/>
            <w:vAlign w:val="center"/>
          </w:tcPr>
          <w:p w14:paraId="2F6D3597" w14:textId="77777777" w:rsidR="00C83BEF" w:rsidRPr="00B461B0" w:rsidRDefault="00C83BEF" w:rsidP="00225B0A">
            <w:pPr>
              <w:pStyle w:val="TableParagraph"/>
              <w:keepNext/>
              <w:keepLines/>
              <w:kinsoku w:val="0"/>
              <w:overflowPunct w:val="0"/>
              <w:spacing w:beforeLines="60" w:before="144" w:after="120"/>
              <w:jc w:val="center"/>
              <w:rPr>
                <w:rFonts w:ascii="Arial" w:hAnsi="Arial" w:cs="Arial"/>
                <w:b/>
                <w:spacing w:val="-3"/>
                <w:sz w:val="18"/>
                <w:szCs w:val="18"/>
              </w:rPr>
            </w:pPr>
            <w:r w:rsidRPr="00B461B0">
              <w:rPr>
                <w:rFonts w:ascii="Arial" w:hAnsi="Arial" w:cs="Arial"/>
                <w:b/>
                <w:spacing w:val="-3"/>
                <w:sz w:val="18"/>
                <w:szCs w:val="18"/>
              </w:rPr>
              <w:t>10 Sep 2018</w:t>
            </w:r>
          </w:p>
        </w:tc>
      </w:tr>
    </w:tbl>
    <w:p w14:paraId="233FEAC0" w14:textId="77777777" w:rsidR="00C83BEF" w:rsidRPr="00C83BEF" w:rsidRDefault="00C83BEF" w:rsidP="00C83BEF">
      <w:pPr>
        <w:pStyle w:val="TableParagraph"/>
        <w:keepNext/>
        <w:keepLines/>
        <w:kinsoku w:val="0"/>
        <w:overflowPunct w:val="0"/>
        <w:spacing w:after="120"/>
        <w:ind w:left="142"/>
        <w:rPr>
          <w:rFonts w:ascii="Arial" w:hAnsi="Arial" w:cs="Arial"/>
          <w:spacing w:val="-3"/>
          <w:sz w:val="18"/>
          <w:szCs w:val="18"/>
        </w:rPr>
      </w:pPr>
      <w:r w:rsidRPr="0085533A">
        <w:rPr>
          <w:rFonts w:ascii="Arial" w:hAnsi="Arial" w:cs="Arial"/>
          <w:spacing w:val="-3"/>
          <w:sz w:val="18"/>
          <w:szCs w:val="18"/>
        </w:rPr>
        <w:t xml:space="preserve">The Department of Water and Environmental Regulation (DWER) of the Government of Western Australia released </w:t>
      </w:r>
      <w:r>
        <w:rPr>
          <w:rFonts w:ascii="Arial" w:hAnsi="Arial" w:cs="Arial"/>
          <w:spacing w:val="-3"/>
          <w:sz w:val="18"/>
          <w:szCs w:val="18"/>
        </w:rPr>
        <w:t>a consultation RIS on</w:t>
      </w:r>
      <w:r w:rsidRPr="0085533A">
        <w:rPr>
          <w:rFonts w:ascii="Arial" w:hAnsi="Arial" w:cs="Arial"/>
          <w:spacing w:val="-3"/>
          <w:sz w:val="18"/>
          <w:szCs w:val="18"/>
        </w:rPr>
        <w:t xml:space="preserve"> examining permanent exemption from mutual recognition arrangements for the WA Container Deposit Scheme (CDS). The WA </w:t>
      </w:r>
      <w:r>
        <w:rPr>
          <w:rFonts w:ascii="Arial" w:hAnsi="Arial" w:cs="Arial"/>
          <w:spacing w:val="-3"/>
          <w:sz w:val="18"/>
          <w:szCs w:val="18"/>
        </w:rPr>
        <w:t>CDS</w:t>
      </w:r>
      <w:r w:rsidRPr="0085533A">
        <w:rPr>
          <w:rFonts w:ascii="Arial" w:hAnsi="Arial" w:cs="Arial"/>
          <w:spacing w:val="-3"/>
          <w:sz w:val="18"/>
          <w:szCs w:val="18"/>
        </w:rPr>
        <w:t xml:space="preserve"> imposes requirements on the sale of beverages that are not required in other jurisdictions that do not have a </w:t>
      </w:r>
      <w:r>
        <w:rPr>
          <w:rFonts w:ascii="Arial" w:hAnsi="Arial" w:cs="Arial"/>
          <w:spacing w:val="-3"/>
          <w:sz w:val="18"/>
          <w:szCs w:val="18"/>
        </w:rPr>
        <w:t>CDS</w:t>
      </w:r>
      <w:r w:rsidRPr="0085533A">
        <w:rPr>
          <w:rFonts w:ascii="Arial" w:hAnsi="Arial" w:cs="Arial"/>
          <w:spacing w:val="-3"/>
          <w:sz w:val="18"/>
          <w:szCs w:val="18"/>
        </w:rPr>
        <w:t xml:space="preserve">. As such, the WA </w:t>
      </w:r>
      <w:r>
        <w:rPr>
          <w:rFonts w:ascii="Arial" w:hAnsi="Arial" w:cs="Arial"/>
          <w:spacing w:val="-3"/>
          <w:sz w:val="18"/>
          <w:szCs w:val="18"/>
        </w:rPr>
        <w:t>CDS</w:t>
      </w:r>
      <w:r w:rsidRPr="0085533A">
        <w:rPr>
          <w:rFonts w:ascii="Arial" w:hAnsi="Arial" w:cs="Arial"/>
          <w:spacing w:val="-3"/>
          <w:sz w:val="18"/>
          <w:szCs w:val="18"/>
        </w:rPr>
        <w:t xml:space="preserve"> may be inconsistent with the Commonwealth mutual recognition acts, which allow goods that are lawfully sold in another jurisdiction to be sold in WA. WA is seeking COAG agreement for the WA </w:t>
      </w:r>
      <w:r>
        <w:rPr>
          <w:rFonts w:ascii="Arial" w:hAnsi="Arial" w:cs="Arial"/>
          <w:spacing w:val="-3"/>
          <w:sz w:val="18"/>
          <w:szCs w:val="18"/>
        </w:rPr>
        <w:t>CDS</w:t>
      </w:r>
      <w:r w:rsidRPr="0085533A">
        <w:rPr>
          <w:rFonts w:ascii="Arial" w:hAnsi="Arial" w:cs="Arial"/>
          <w:spacing w:val="-3"/>
          <w:sz w:val="18"/>
          <w:szCs w:val="18"/>
        </w:rPr>
        <w:t xml:space="preserve"> to be permanently exempt from the </w:t>
      </w:r>
      <w:r w:rsidRPr="00C2474A">
        <w:rPr>
          <w:rFonts w:ascii="Arial" w:hAnsi="Arial" w:cs="Arial"/>
          <w:i/>
          <w:spacing w:val="-3"/>
          <w:sz w:val="18"/>
          <w:szCs w:val="18"/>
        </w:rPr>
        <w:t>Mutual Recognition Act 1992</w:t>
      </w:r>
      <w:r w:rsidRPr="0085533A">
        <w:rPr>
          <w:rFonts w:ascii="Arial" w:hAnsi="Arial" w:cs="Arial"/>
          <w:spacing w:val="-3"/>
          <w:sz w:val="18"/>
          <w:szCs w:val="18"/>
        </w:rPr>
        <w:t xml:space="preserve"> (</w:t>
      </w:r>
      <w:proofErr w:type="spellStart"/>
      <w:r w:rsidRPr="0085533A">
        <w:rPr>
          <w:rFonts w:ascii="Arial" w:hAnsi="Arial" w:cs="Arial"/>
          <w:spacing w:val="-3"/>
          <w:sz w:val="18"/>
          <w:szCs w:val="18"/>
        </w:rPr>
        <w:t>Cth</w:t>
      </w:r>
      <w:proofErr w:type="spellEnd"/>
      <w:r w:rsidRPr="0085533A">
        <w:rPr>
          <w:rFonts w:ascii="Arial" w:hAnsi="Arial" w:cs="Arial"/>
          <w:spacing w:val="-3"/>
          <w:sz w:val="18"/>
          <w:szCs w:val="18"/>
        </w:rPr>
        <w:t xml:space="preserve">) and the </w:t>
      </w:r>
      <w:r w:rsidRPr="00C2474A">
        <w:rPr>
          <w:rFonts w:ascii="Arial" w:hAnsi="Arial" w:cs="Arial"/>
          <w:i/>
          <w:spacing w:val="-3"/>
          <w:sz w:val="18"/>
          <w:szCs w:val="18"/>
        </w:rPr>
        <w:t>Trans-Tasman Mutual Recognition Act 1997</w:t>
      </w:r>
      <w:r>
        <w:rPr>
          <w:rFonts w:ascii="Arial" w:hAnsi="Arial" w:cs="Arial"/>
          <w:spacing w:val="-3"/>
          <w:sz w:val="18"/>
          <w:szCs w:val="18"/>
        </w:rPr>
        <w:t xml:space="preserve"> (</w:t>
      </w:r>
      <w:proofErr w:type="spellStart"/>
      <w:r>
        <w:rPr>
          <w:rFonts w:ascii="Arial" w:hAnsi="Arial" w:cs="Arial"/>
          <w:spacing w:val="-3"/>
          <w:sz w:val="18"/>
          <w:szCs w:val="18"/>
        </w:rPr>
        <w:t>Cth</w:t>
      </w:r>
      <w:proofErr w:type="spellEnd"/>
      <w:r>
        <w:rPr>
          <w:rFonts w:ascii="Arial" w:hAnsi="Arial" w:cs="Arial"/>
          <w:spacing w:val="-3"/>
          <w:sz w:val="18"/>
          <w:szCs w:val="18"/>
        </w:rPr>
        <w:t>).</w:t>
      </w:r>
    </w:p>
    <w:tbl>
      <w:tblPr>
        <w:tblW w:w="10207" w:type="dxa"/>
        <w:tblInd w:w="-142" w:type="dxa"/>
        <w:tblLayout w:type="fixed"/>
        <w:tblCellMar>
          <w:left w:w="0" w:type="dxa"/>
          <w:right w:w="0" w:type="dxa"/>
        </w:tblCellMar>
        <w:tblLook w:val="04A0" w:firstRow="1" w:lastRow="0" w:firstColumn="1" w:lastColumn="0" w:noHBand="0" w:noVBand="1"/>
      </w:tblPr>
      <w:tblGrid>
        <w:gridCol w:w="5104"/>
        <w:gridCol w:w="2976"/>
        <w:gridCol w:w="2127"/>
      </w:tblGrid>
      <w:tr w:rsidR="00C83BEF" w:rsidRPr="00E74ED3" w14:paraId="3002AAEC" w14:textId="77777777" w:rsidTr="00225B0A">
        <w:trPr>
          <w:trHeight w:val="510"/>
          <w:tblHeader/>
        </w:trPr>
        <w:tc>
          <w:tcPr>
            <w:tcW w:w="5104" w:type="dxa"/>
            <w:shd w:val="clear" w:color="auto" w:fill="auto"/>
            <w:vAlign w:val="center"/>
          </w:tcPr>
          <w:p w14:paraId="661D9B71" w14:textId="77777777" w:rsidR="00C83BEF" w:rsidRPr="00B461B0" w:rsidRDefault="00C83BEF" w:rsidP="00225B0A">
            <w:pPr>
              <w:pStyle w:val="TableParagraph"/>
              <w:keepNext/>
              <w:keepLines/>
              <w:kinsoku w:val="0"/>
              <w:overflowPunct w:val="0"/>
              <w:spacing w:beforeLines="60" w:before="144" w:after="120"/>
              <w:ind w:left="79"/>
              <w:rPr>
                <w:rFonts w:ascii="Arial" w:hAnsi="Arial" w:cs="Arial"/>
                <w:b/>
                <w:spacing w:val="-3"/>
                <w:sz w:val="18"/>
                <w:szCs w:val="18"/>
              </w:rPr>
            </w:pPr>
            <w:r w:rsidRPr="00B461B0">
              <w:rPr>
                <w:rFonts w:ascii="Arial" w:hAnsi="Arial" w:cs="Arial"/>
                <w:b/>
                <w:spacing w:val="-3"/>
                <w:sz w:val="18"/>
                <w:szCs w:val="18"/>
              </w:rPr>
              <w:t xml:space="preserve">Retail Reliability Obligation  </w:t>
            </w:r>
          </w:p>
        </w:tc>
        <w:tc>
          <w:tcPr>
            <w:tcW w:w="2976" w:type="dxa"/>
            <w:shd w:val="clear" w:color="auto" w:fill="auto"/>
            <w:vAlign w:val="center"/>
          </w:tcPr>
          <w:p w14:paraId="18E13A22" w14:textId="77777777" w:rsidR="00C83BEF" w:rsidRPr="00B461B0" w:rsidRDefault="00C83BEF" w:rsidP="00225B0A">
            <w:pPr>
              <w:pStyle w:val="TableParagraph"/>
              <w:keepNext/>
              <w:keepLines/>
              <w:kinsoku w:val="0"/>
              <w:overflowPunct w:val="0"/>
              <w:spacing w:beforeLines="60" w:before="144" w:after="120"/>
              <w:jc w:val="center"/>
              <w:rPr>
                <w:rFonts w:ascii="Arial" w:hAnsi="Arial" w:cs="Arial"/>
                <w:b/>
                <w:spacing w:val="-3"/>
                <w:sz w:val="18"/>
                <w:szCs w:val="18"/>
              </w:rPr>
            </w:pPr>
            <w:r w:rsidRPr="00B461B0">
              <w:rPr>
                <w:rFonts w:ascii="Arial" w:hAnsi="Arial" w:cs="Arial"/>
                <w:b/>
                <w:spacing w:val="-3"/>
                <w:sz w:val="18"/>
                <w:szCs w:val="18"/>
              </w:rPr>
              <w:t xml:space="preserve">COAG Energy Council </w:t>
            </w:r>
          </w:p>
        </w:tc>
        <w:tc>
          <w:tcPr>
            <w:tcW w:w="2127" w:type="dxa"/>
            <w:shd w:val="clear" w:color="auto" w:fill="auto"/>
            <w:vAlign w:val="center"/>
          </w:tcPr>
          <w:p w14:paraId="137FFC67" w14:textId="77777777" w:rsidR="00C83BEF" w:rsidRPr="00B461B0" w:rsidRDefault="00C83BEF" w:rsidP="00225B0A">
            <w:pPr>
              <w:pStyle w:val="TableParagraph"/>
              <w:keepNext/>
              <w:keepLines/>
              <w:kinsoku w:val="0"/>
              <w:overflowPunct w:val="0"/>
              <w:spacing w:beforeLines="60" w:before="144" w:after="120"/>
              <w:jc w:val="center"/>
              <w:rPr>
                <w:rFonts w:ascii="Arial" w:hAnsi="Arial" w:cs="Arial"/>
                <w:b/>
                <w:spacing w:val="-3"/>
                <w:sz w:val="18"/>
                <w:szCs w:val="18"/>
              </w:rPr>
            </w:pPr>
            <w:r w:rsidRPr="00B461B0">
              <w:rPr>
                <w:rFonts w:ascii="Arial" w:hAnsi="Arial" w:cs="Arial"/>
                <w:b/>
                <w:spacing w:val="-3"/>
                <w:sz w:val="18"/>
                <w:szCs w:val="18"/>
              </w:rPr>
              <w:t>12 Sep 2018</w:t>
            </w:r>
          </w:p>
        </w:tc>
      </w:tr>
    </w:tbl>
    <w:p w14:paraId="19DEE01D" w14:textId="544F0CFA" w:rsidR="00C83BEF" w:rsidRPr="00C83BEF" w:rsidRDefault="00C83BEF" w:rsidP="00C83BEF">
      <w:pPr>
        <w:pStyle w:val="TableParagraph"/>
        <w:keepNext/>
        <w:keepLines/>
        <w:kinsoku w:val="0"/>
        <w:overflowPunct w:val="0"/>
        <w:spacing w:after="120"/>
        <w:ind w:left="142"/>
        <w:rPr>
          <w:rFonts w:ascii="Arial" w:hAnsi="Arial" w:cs="Arial"/>
          <w:spacing w:val="-3"/>
          <w:sz w:val="18"/>
          <w:szCs w:val="18"/>
        </w:rPr>
      </w:pPr>
      <w:r w:rsidRPr="0085533A">
        <w:rPr>
          <w:rFonts w:ascii="Arial" w:hAnsi="Arial" w:cs="Arial"/>
          <w:spacing w:val="-3"/>
          <w:sz w:val="18"/>
          <w:szCs w:val="18"/>
        </w:rPr>
        <w:t xml:space="preserve">Impact assessment of the Retailer Reliability Obligation (RRO) for the National Electricity Market (NEM). The RRO builds on existing spot and financial market arrangements in the electricity market to facilitate investment in </w:t>
      </w:r>
      <w:proofErr w:type="spellStart"/>
      <w:r w:rsidRPr="0085533A">
        <w:rPr>
          <w:rFonts w:ascii="Arial" w:hAnsi="Arial" w:cs="Arial"/>
          <w:spacing w:val="-3"/>
          <w:sz w:val="18"/>
          <w:szCs w:val="18"/>
        </w:rPr>
        <w:t>dispatchable</w:t>
      </w:r>
      <w:proofErr w:type="spellEnd"/>
      <w:r w:rsidRPr="0085533A">
        <w:rPr>
          <w:rFonts w:ascii="Arial" w:hAnsi="Arial" w:cs="Arial"/>
          <w:spacing w:val="-3"/>
          <w:sz w:val="18"/>
          <w:szCs w:val="18"/>
        </w:rPr>
        <w:t xml:space="preserve"> capacity. It is designed to incentivise retailers, on behalf of their customers, to support the reliability of the power system through their contracti</w:t>
      </w:r>
      <w:r>
        <w:rPr>
          <w:rFonts w:ascii="Arial" w:hAnsi="Arial" w:cs="Arial"/>
          <w:spacing w:val="-3"/>
          <w:sz w:val="18"/>
          <w:szCs w:val="18"/>
        </w:rPr>
        <w:t>ng and investment in resources.</w:t>
      </w:r>
    </w:p>
    <w:tbl>
      <w:tblPr>
        <w:tblW w:w="10207" w:type="dxa"/>
        <w:tblInd w:w="-142" w:type="dxa"/>
        <w:tblLayout w:type="fixed"/>
        <w:tblCellMar>
          <w:left w:w="0" w:type="dxa"/>
          <w:right w:w="0" w:type="dxa"/>
        </w:tblCellMar>
        <w:tblLook w:val="04A0" w:firstRow="1" w:lastRow="0" w:firstColumn="1" w:lastColumn="0" w:noHBand="0" w:noVBand="1"/>
      </w:tblPr>
      <w:tblGrid>
        <w:gridCol w:w="5104"/>
        <w:gridCol w:w="2976"/>
        <w:gridCol w:w="2127"/>
      </w:tblGrid>
      <w:tr w:rsidR="004D39C7" w:rsidRPr="00E74ED3" w14:paraId="270E2686" w14:textId="77777777" w:rsidTr="00B22D09">
        <w:trPr>
          <w:trHeight w:val="510"/>
          <w:tblHeader/>
        </w:trPr>
        <w:tc>
          <w:tcPr>
            <w:tcW w:w="5104" w:type="dxa"/>
            <w:shd w:val="clear" w:color="auto" w:fill="auto"/>
            <w:vAlign w:val="center"/>
          </w:tcPr>
          <w:p w14:paraId="0013BF34" w14:textId="77777777" w:rsidR="004D39C7" w:rsidRPr="00B461B0" w:rsidRDefault="004D39C7" w:rsidP="00B22D09">
            <w:pPr>
              <w:pStyle w:val="TableParagraph"/>
              <w:keepNext/>
              <w:keepLines/>
              <w:kinsoku w:val="0"/>
              <w:overflowPunct w:val="0"/>
              <w:spacing w:beforeLines="60" w:before="144" w:after="120"/>
              <w:ind w:left="79"/>
              <w:rPr>
                <w:rFonts w:ascii="Arial" w:hAnsi="Arial" w:cs="Arial"/>
                <w:b/>
                <w:spacing w:val="-3"/>
                <w:sz w:val="18"/>
                <w:szCs w:val="18"/>
              </w:rPr>
            </w:pPr>
            <w:bookmarkStart w:id="346" w:name="_GoBack" w:colFirst="0" w:colLast="2"/>
            <w:r w:rsidRPr="00B461B0">
              <w:rPr>
                <w:rFonts w:ascii="Arial" w:hAnsi="Arial" w:cs="Arial"/>
                <w:b/>
                <w:spacing w:val="-3"/>
                <w:sz w:val="18"/>
                <w:szCs w:val="18"/>
              </w:rPr>
              <w:t>Labelling of Sugars on Packaged Foods and Drinks</w:t>
            </w:r>
          </w:p>
        </w:tc>
        <w:tc>
          <w:tcPr>
            <w:tcW w:w="2976" w:type="dxa"/>
            <w:shd w:val="clear" w:color="auto" w:fill="auto"/>
            <w:vAlign w:val="center"/>
          </w:tcPr>
          <w:p w14:paraId="109AE4AB" w14:textId="77777777" w:rsidR="004D39C7" w:rsidRPr="00B461B0" w:rsidRDefault="004D39C7" w:rsidP="00B22D09">
            <w:pPr>
              <w:pStyle w:val="TableParagraph"/>
              <w:keepNext/>
              <w:keepLines/>
              <w:kinsoku w:val="0"/>
              <w:overflowPunct w:val="0"/>
              <w:spacing w:beforeLines="60" w:before="144" w:after="120"/>
              <w:jc w:val="center"/>
              <w:rPr>
                <w:rFonts w:ascii="Arial" w:hAnsi="Arial" w:cs="Arial"/>
                <w:b/>
                <w:spacing w:val="-3"/>
                <w:sz w:val="18"/>
                <w:szCs w:val="18"/>
              </w:rPr>
            </w:pPr>
            <w:r w:rsidRPr="00B461B0">
              <w:rPr>
                <w:rFonts w:ascii="Arial" w:hAnsi="Arial" w:cs="Arial"/>
                <w:b/>
                <w:spacing w:val="-3"/>
                <w:sz w:val="18"/>
                <w:szCs w:val="18"/>
              </w:rPr>
              <w:t xml:space="preserve">Australia and New Zealand </w:t>
            </w:r>
            <w:r w:rsidRPr="00B461B0">
              <w:rPr>
                <w:rFonts w:ascii="Arial" w:hAnsi="Arial" w:cs="Arial"/>
                <w:b/>
                <w:spacing w:val="-3"/>
                <w:sz w:val="18"/>
                <w:szCs w:val="18"/>
              </w:rPr>
              <w:br/>
              <w:t>Forum on Food Regulation</w:t>
            </w:r>
          </w:p>
        </w:tc>
        <w:tc>
          <w:tcPr>
            <w:tcW w:w="2127" w:type="dxa"/>
            <w:shd w:val="clear" w:color="auto" w:fill="auto"/>
            <w:vAlign w:val="center"/>
          </w:tcPr>
          <w:p w14:paraId="21431F22" w14:textId="77777777" w:rsidR="004D39C7" w:rsidRPr="00B461B0" w:rsidRDefault="004D39C7" w:rsidP="00B22D09">
            <w:pPr>
              <w:pStyle w:val="TableParagraph"/>
              <w:keepNext/>
              <w:keepLines/>
              <w:kinsoku w:val="0"/>
              <w:overflowPunct w:val="0"/>
              <w:spacing w:beforeLines="60" w:before="144" w:after="120"/>
              <w:jc w:val="center"/>
              <w:rPr>
                <w:rFonts w:ascii="Arial" w:hAnsi="Arial" w:cs="Arial"/>
                <w:b/>
                <w:spacing w:val="-3"/>
                <w:sz w:val="18"/>
                <w:szCs w:val="18"/>
              </w:rPr>
            </w:pPr>
            <w:r w:rsidRPr="00B461B0">
              <w:rPr>
                <w:rFonts w:ascii="Arial" w:hAnsi="Arial" w:cs="Arial"/>
                <w:b/>
                <w:spacing w:val="-3"/>
                <w:sz w:val="18"/>
                <w:szCs w:val="18"/>
              </w:rPr>
              <w:t>19 Sep 2018</w:t>
            </w:r>
          </w:p>
        </w:tc>
      </w:tr>
    </w:tbl>
    <w:bookmarkEnd w:id="346"/>
    <w:p w14:paraId="5BEEFD96" w14:textId="3EEFA367" w:rsidR="004D39C7" w:rsidRPr="00C83BEF" w:rsidRDefault="004D39C7" w:rsidP="00C83BEF">
      <w:pPr>
        <w:pStyle w:val="TableParagraph"/>
        <w:keepNext/>
        <w:keepLines/>
        <w:kinsoku w:val="0"/>
        <w:overflowPunct w:val="0"/>
        <w:spacing w:after="120"/>
        <w:ind w:left="142"/>
        <w:rPr>
          <w:rFonts w:ascii="Arial" w:hAnsi="Arial" w:cs="Arial"/>
          <w:spacing w:val="-3"/>
          <w:sz w:val="18"/>
          <w:szCs w:val="18"/>
        </w:rPr>
      </w:pPr>
      <w:r w:rsidRPr="0085533A">
        <w:rPr>
          <w:rFonts w:ascii="Arial" w:hAnsi="Arial" w:cs="Arial"/>
          <w:spacing w:val="-3"/>
          <w:sz w:val="18"/>
          <w:szCs w:val="18"/>
        </w:rPr>
        <w:t xml:space="preserve">The Food Regulation Standards Committee released a consultation RIS exploring regulatory and non-regulatory options for labelling of sugars on packaged foods and drinks for sale in Australia and New Zealand, with the aim of ensuring food labels provide adequate </w:t>
      </w:r>
      <w:r>
        <w:rPr>
          <w:rFonts w:ascii="Arial" w:hAnsi="Arial" w:cs="Arial"/>
          <w:spacing w:val="-3"/>
          <w:sz w:val="18"/>
          <w:szCs w:val="18"/>
        </w:rPr>
        <w:t>information about sugars</w:t>
      </w:r>
      <w:r w:rsidRPr="0085533A">
        <w:rPr>
          <w:rFonts w:ascii="Arial" w:hAnsi="Arial" w:cs="Arial"/>
          <w:spacing w:val="-3"/>
          <w:sz w:val="18"/>
          <w:szCs w:val="18"/>
        </w:rPr>
        <w:t xml:space="preserve"> to enable consumers to make informed choices in</w:t>
      </w:r>
      <w:r>
        <w:rPr>
          <w:rFonts w:ascii="Arial" w:hAnsi="Arial" w:cs="Arial"/>
          <w:spacing w:val="-3"/>
          <w:sz w:val="18"/>
          <w:szCs w:val="18"/>
        </w:rPr>
        <w:t xml:space="preserve"> support of dietary guidelines.</w:t>
      </w:r>
    </w:p>
    <w:sectPr w:rsidR="004D39C7" w:rsidRPr="00C83BEF" w:rsidSect="001B295C">
      <w:headerReference w:type="default" r:id="rId12"/>
      <w:footerReference w:type="even" r:id="rId13"/>
      <w:footerReference w:type="default" r:id="rId14"/>
      <w:headerReference w:type="first" r:id="rId15"/>
      <w:footerReference w:type="first" r:id="rId16"/>
      <w:type w:val="continuous"/>
      <w:pgSz w:w="11900" w:h="16840" w:code="9"/>
      <w:pgMar w:top="1928" w:right="703" w:bottom="1644" w:left="1418" w:header="510" w:footer="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FE974" w14:textId="77777777" w:rsidR="00EE6E88" w:rsidRDefault="00EE6E88" w:rsidP="003B52FC">
      <w:r>
        <w:separator/>
      </w:r>
    </w:p>
  </w:endnote>
  <w:endnote w:type="continuationSeparator" w:id="0">
    <w:p w14:paraId="167DD1F6" w14:textId="77777777" w:rsidR="00EE6E88" w:rsidRDefault="00EE6E88" w:rsidP="003B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otham Rounded Book">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TheSansSemiBold-Plain">
    <w:altName w:val="Arial"/>
    <w:panose1 w:val="00000000000000000000"/>
    <w:charset w:val="00"/>
    <w:family w:val="swiss"/>
    <w:notTrueType/>
    <w:pitch w:val="variable"/>
    <w:sig w:usb0="00000001" w:usb1="00000000" w:usb2="00000000" w:usb3="00000000" w:csb0="00000009" w:csb1="00000000"/>
  </w:font>
  <w:font w:name="Interstate-Light">
    <w:altName w:val="Calibri"/>
    <w:charset w:val="00"/>
    <w:family w:val="auto"/>
    <w:pitch w:val="variable"/>
    <w:sig w:usb0="00000001" w:usb1="4000207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3C59E" w14:textId="77777777" w:rsidR="00FF2E5F" w:rsidRDefault="00FF2E5F">
    <w:pPr>
      <w:pStyle w:val="Footer"/>
    </w:pPr>
  </w:p>
  <w:p w14:paraId="56A3C59F" w14:textId="77777777" w:rsidR="00FF2E5F" w:rsidRDefault="00FF2E5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3C5A0" w14:textId="3B5B44F1" w:rsidR="00FF2E5F" w:rsidRDefault="00FF2E5F" w:rsidP="00C86A41">
    <w:pPr>
      <w:pStyle w:val="BodyText1"/>
      <w:jc w:val="right"/>
    </w:pPr>
    <w:r>
      <w:rPr>
        <w:rFonts w:cs="Arial"/>
        <w:color w:val="808080"/>
        <w:sz w:val="16"/>
        <w:szCs w:val="16"/>
      </w:rPr>
      <w:tab/>
    </w:r>
    <w:r w:rsidRPr="00C86A41">
      <w:rPr>
        <w:rFonts w:cs="Arial"/>
        <w:color w:val="808080"/>
        <w:sz w:val="16"/>
        <w:szCs w:val="16"/>
      </w:rPr>
      <w:t xml:space="preserve">Page </w:t>
    </w:r>
    <w:r w:rsidRPr="00C86A41">
      <w:rPr>
        <w:rFonts w:cs="Arial"/>
        <w:color w:val="808080"/>
        <w:sz w:val="16"/>
        <w:szCs w:val="16"/>
      </w:rPr>
      <w:fldChar w:fldCharType="begin"/>
    </w:r>
    <w:r w:rsidRPr="00C86A41">
      <w:rPr>
        <w:rFonts w:cs="Arial"/>
        <w:color w:val="808080"/>
        <w:sz w:val="16"/>
        <w:szCs w:val="16"/>
      </w:rPr>
      <w:instrText xml:space="preserve"> PAGE </w:instrText>
    </w:r>
    <w:r w:rsidRPr="00C86A41">
      <w:rPr>
        <w:rFonts w:cs="Arial"/>
        <w:color w:val="808080"/>
        <w:sz w:val="16"/>
        <w:szCs w:val="16"/>
      </w:rPr>
      <w:fldChar w:fldCharType="separate"/>
    </w:r>
    <w:r w:rsidR="00B461B0">
      <w:rPr>
        <w:rFonts w:cs="Arial"/>
        <w:noProof/>
        <w:color w:val="808080"/>
        <w:sz w:val="16"/>
        <w:szCs w:val="16"/>
      </w:rPr>
      <w:t>2</w:t>
    </w:r>
    <w:r w:rsidRPr="00C86A41">
      <w:rPr>
        <w:rFonts w:cs="Arial"/>
        <w:color w:val="808080"/>
        <w:sz w:val="16"/>
        <w:szCs w:val="16"/>
      </w:rPr>
      <w:fldChar w:fldCharType="end"/>
    </w:r>
    <w:r w:rsidRPr="00C86A41">
      <w:rPr>
        <w:rFonts w:cs="Arial"/>
        <w:color w:val="808080"/>
        <w:sz w:val="16"/>
        <w:szCs w:val="16"/>
      </w:rPr>
      <w:t xml:space="preserve"> of </w:t>
    </w:r>
    <w:r w:rsidRPr="00C86A41">
      <w:rPr>
        <w:rFonts w:cs="Arial"/>
        <w:color w:val="808080"/>
        <w:sz w:val="16"/>
        <w:szCs w:val="16"/>
      </w:rPr>
      <w:fldChar w:fldCharType="begin"/>
    </w:r>
    <w:r w:rsidRPr="00C86A41">
      <w:rPr>
        <w:rFonts w:cs="Arial"/>
        <w:color w:val="808080"/>
        <w:sz w:val="16"/>
        <w:szCs w:val="16"/>
      </w:rPr>
      <w:instrText xml:space="preserve"> NUMPAGES  </w:instrText>
    </w:r>
    <w:r w:rsidRPr="00C86A41">
      <w:rPr>
        <w:rFonts w:cs="Arial"/>
        <w:color w:val="808080"/>
        <w:sz w:val="16"/>
        <w:szCs w:val="16"/>
      </w:rPr>
      <w:fldChar w:fldCharType="separate"/>
    </w:r>
    <w:r w:rsidR="00B461B0">
      <w:rPr>
        <w:rFonts w:cs="Arial"/>
        <w:noProof/>
        <w:color w:val="808080"/>
        <w:sz w:val="16"/>
        <w:szCs w:val="16"/>
      </w:rPr>
      <w:t>6</w:t>
    </w:r>
    <w:r w:rsidRPr="00C86A41">
      <w:rPr>
        <w:rFonts w:cs="Arial"/>
        <w:color w:val="808080"/>
        <w:sz w:val="16"/>
        <w:szCs w:val="16"/>
      </w:rPr>
      <w:fldChar w:fldCharType="end"/>
    </w:r>
  </w:p>
  <w:p w14:paraId="56A3C5A1" w14:textId="77777777" w:rsidR="00FF2E5F" w:rsidRDefault="00FF2E5F">
    <w:pPr>
      <w:pStyle w:val="Footer"/>
    </w:pPr>
  </w:p>
  <w:p w14:paraId="56A3C5A2" w14:textId="77777777" w:rsidR="00FF2E5F" w:rsidRDefault="00FF2E5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3C5A5" w14:textId="2B39D1B5" w:rsidR="00FF2E5F" w:rsidRDefault="00FF2E5F" w:rsidP="00A373F3">
    <w:pPr>
      <w:pStyle w:val="BodyText1"/>
      <w:jc w:val="right"/>
    </w:pPr>
    <w:r>
      <w:rPr>
        <w:rFonts w:cs="Arial"/>
        <w:color w:val="808080"/>
        <w:sz w:val="16"/>
        <w:szCs w:val="16"/>
      </w:rPr>
      <w:tab/>
    </w:r>
    <w:r w:rsidRPr="00C86A41">
      <w:rPr>
        <w:rFonts w:cs="Arial"/>
        <w:color w:val="808080"/>
        <w:sz w:val="16"/>
        <w:szCs w:val="16"/>
      </w:rPr>
      <w:t xml:space="preserve">Page </w:t>
    </w:r>
    <w:r w:rsidRPr="00C86A41">
      <w:rPr>
        <w:rFonts w:cs="Arial"/>
        <w:color w:val="808080"/>
        <w:sz w:val="16"/>
        <w:szCs w:val="16"/>
      </w:rPr>
      <w:fldChar w:fldCharType="begin"/>
    </w:r>
    <w:r w:rsidRPr="00C86A41">
      <w:rPr>
        <w:rFonts w:cs="Arial"/>
        <w:color w:val="808080"/>
        <w:sz w:val="16"/>
        <w:szCs w:val="16"/>
      </w:rPr>
      <w:instrText xml:space="preserve"> PAGE </w:instrText>
    </w:r>
    <w:r w:rsidRPr="00C86A41">
      <w:rPr>
        <w:rFonts w:cs="Arial"/>
        <w:color w:val="808080"/>
        <w:sz w:val="16"/>
        <w:szCs w:val="16"/>
      </w:rPr>
      <w:fldChar w:fldCharType="separate"/>
    </w:r>
    <w:r w:rsidR="00B461B0">
      <w:rPr>
        <w:rFonts w:cs="Arial"/>
        <w:noProof/>
        <w:color w:val="808080"/>
        <w:sz w:val="16"/>
        <w:szCs w:val="16"/>
      </w:rPr>
      <w:t>1</w:t>
    </w:r>
    <w:r w:rsidRPr="00C86A41">
      <w:rPr>
        <w:rFonts w:cs="Arial"/>
        <w:color w:val="808080"/>
        <w:sz w:val="16"/>
        <w:szCs w:val="16"/>
      </w:rPr>
      <w:fldChar w:fldCharType="end"/>
    </w:r>
    <w:r w:rsidRPr="00C86A41">
      <w:rPr>
        <w:rFonts w:cs="Arial"/>
        <w:color w:val="808080"/>
        <w:sz w:val="16"/>
        <w:szCs w:val="16"/>
      </w:rPr>
      <w:t xml:space="preserve"> of </w:t>
    </w:r>
    <w:r w:rsidRPr="00C86A41">
      <w:rPr>
        <w:rFonts w:cs="Arial"/>
        <w:color w:val="808080"/>
        <w:sz w:val="16"/>
        <w:szCs w:val="16"/>
      </w:rPr>
      <w:fldChar w:fldCharType="begin"/>
    </w:r>
    <w:r w:rsidRPr="00C86A41">
      <w:rPr>
        <w:rFonts w:cs="Arial"/>
        <w:color w:val="808080"/>
        <w:sz w:val="16"/>
        <w:szCs w:val="16"/>
      </w:rPr>
      <w:instrText xml:space="preserve"> NUMPAGES  </w:instrText>
    </w:r>
    <w:r w:rsidRPr="00C86A41">
      <w:rPr>
        <w:rFonts w:cs="Arial"/>
        <w:color w:val="808080"/>
        <w:sz w:val="16"/>
        <w:szCs w:val="16"/>
      </w:rPr>
      <w:fldChar w:fldCharType="separate"/>
    </w:r>
    <w:r w:rsidR="00B461B0">
      <w:rPr>
        <w:rFonts w:cs="Arial"/>
        <w:noProof/>
        <w:color w:val="808080"/>
        <w:sz w:val="16"/>
        <w:szCs w:val="16"/>
      </w:rPr>
      <w:t>6</w:t>
    </w:r>
    <w:r w:rsidRPr="00C86A41">
      <w:rPr>
        <w:rFonts w:cs="Arial"/>
        <w:color w:val="808080"/>
        <w:sz w:val="16"/>
        <w:szCs w:val="16"/>
      </w:rPr>
      <w:fldChar w:fldCharType="end"/>
    </w:r>
  </w:p>
  <w:p w14:paraId="56A3C5A6" w14:textId="77777777" w:rsidR="00FF2E5F" w:rsidRDefault="00FF2E5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43AF9" w14:textId="77777777" w:rsidR="00EE6E88" w:rsidRDefault="00EE6E88" w:rsidP="003B52FC"/>
  </w:footnote>
  <w:footnote w:type="continuationSeparator" w:id="0">
    <w:p w14:paraId="5EB09574" w14:textId="77777777" w:rsidR="00EE6E88" w:rsidRDefault="00EE6E88" w:rsidP="003B52F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3C59C" w14:textId="77777777" w:rsidR="00FF2E5F" w:rsidRPr="008A1645" w:rsidRDefault="00542F25" w:rsidP="008A1645">
    <w:pPr>
      <w:pStyle w:val="Header"/>
    </w:pPr>
    <w:r>
      <w:rPr>
        <w:noProof/>
        <w:lang w:eastAsia="en-AU"/>
      </w:rPr>
      <w:drawing>
        <wp:inline distT="0" distB="0" distL="0" distR="0" wp14:anchorId="56A3C5A7" wp14:editId="4DC2E0ED">
          <wp:extent cx="6905625" cy="438150"/>
          <wp:effectExtent l="0" t="0" r="9525" b="0"/>
          <wp:docPr id="15" name="Picture 15" descr="Decorative element" title="Decorative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5625" cy="438150"/>
                  </a:xfrm>
                  <a:prstGeom prst="rect">
                    <a:avLst/>
                  </a:prstGeom>
                  <a:noFill/>
                  <a:ln>
                    <a:noFill/>
                  </a:ln>
                </pic:spPr>
              </pic:pic>
            </a:graphicData>
          </a:graphic>
        </wp:inline>
      </w:drawing>
    </w:r>
  </w:p>
  <w:p w14:paraId="56A3C59D" w14:textId="77777777" w:rsidR="00FF2E5F" w:rsidRDefault="00FF2E5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3C5A3" w14:textId="77777777" w:rsidR="00FF2E5F" w:rsidRDefault="00542F25" w:rsidP="00D95828">
    <w:pPr>
      <w:pStyle w:val="Header"/>
      <w:tabs>
        <w:tab w:val="clear" w:pos="4680"/>
        <w:tab w:val="clear" w:pos="9360"/>
        <w:tab w:val="left" w:pos="8102"/>
        <w:tab w:val="right" w:pos="9064"/>
      </w:tabs>
    </w:pPr>
    <w:r>
      <w:rPr>
        <w:noProof/>
        <w:lang w:eastAsia="en-AU"/>
      </w:rPr>
      <w:drawing>
        <wp:anchor distT="0" distB="0" distL="114300" distR="114300" simplePos="0" relativeHeight="251657728" behindDoc="1" locked="0" layoutInCell="1" allowOverlap="1" wp14:anchorId="56A3C5A9" wp14:editId="56A3C5AA">
          <wp:simplePos x="0" y="0"/>
          <wp:positionH relativeFrom="column">
            <wp:posOffset>-908050</wp:posOffset>
          </wp:positionH>
          <wp:positionV relativeFrom="paragraph">
            <wp:posOffset>-442595</wp:posOffset>
          </wp:positionV>
          <wp:extent cx="7560310" cy="1645285"/>
          <wp:effectExtent l="0" t="0" r="0" b="0"/>
          <wp:wrapNone/>
          <wp:docPr id="16" name="Picture 13" descr="g_server:WORK IN PROGRESS:14010 PM&amp;C Best Practice Regulation Report 2012-13:Word templates:cover.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g_server:WORK IN PROGRESS:14010 PM&amp;C Best Practice Regulation Report 2012-13:Word templates:cover.pdf"/>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60310" cy="1645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A3C5A4" w14:textId="77777777" w:rsidR="00FF2E5F" w:rsidRDefault="00FF2E5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8EC9C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186FB8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E3722D7E"/>
    <w:lvl w:ilvl="0">
      <w:start w:val="1"/>
      <w:numFmt w:val="bullet"/>
      <w:lvlText w:val=""/>
      <w:lvlJc w:val="left"/>
      <w:pPr>
        <w:ind w:left="360" w:hanging="360"/>
      </w:pPr>
      <w:rPr>
        <w:rFonts w:ascii="Symbol" w:hAnsi="Symbol" w:hint="default"/>
        <w:color w:val="14708E"/>
      </w:rPr>
    </w:lvl>
  </w:abstractNum>
  <w:abstractNum w:abstractNumId="3" w15:restartNumberingAfterBreak="0">
    <w:nsid w:val="00D04AC9"/>
    <w:multiLevelType w:val="hybridMultilevel"/>
    <w:tmpl w:val="90DCC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13048DF"/>
    <w:multiLevelType w:val="hybridMultilevel"/>
    <w:tmpl w:val="BD26DBF0"/>
    <w:lvl w:ilvl="0" w:tplc="8A9AC692">
      <w:numFmt w:val="bullet"/>
      <w:lvlText w:val="-"/>
      <w:lvlJc w:val="left"/>
      <w:pPr>
        <w:ind w:left="720" w:hanging="360"/>
      </w:pPr>
      <w:rPr>
        <w:rFonts w:ascii="Calibri" w:eastAsia="Cambria"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242F55"/>
    <w:multiLevelType w:val="hybridMultilevel"/>
    <w:tmpl w:val="28663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8056096"/>
    <w:multiLevelType w:val="hybridMultilevel"/>
    <w:tmpl w:val="77E28ED6"/>
    <w:lvl w:ilvl="0" w:tplc="30023904">
      <w:start w:val="1"/>
      <w:numFmt w:val="decimal"/>
      <w:lvlText w:val="%1."/>
      <w:lvlJc w:val="left"/>
      <w:pPr>
        <w:ind w:left="720" w:hanging="360"/>
      </w:pPr>
      <w:rPr>
        <w:rFonts w:hint="default"/>
        <w:b/>
        <w:i w:val="0"/>
      </w:rPr>
    </w:lvl>
    <w:lvl w:ilvl="1" w:tplc="49E0823C">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F52470"/>
    <w:multiLevelType w:val="hybridMultilevel"/>
    <w:tmpl w:val="0882CC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8A0836"/>
    <w:multiLevelType w:val="hybridMultilevel"/>
    <w:tmpl w:val="7FF45B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D6C2D64"/>
    <w:multiLevelType w:val="hybridMultilevel"/>
    <w:tmpl w:val="5B983AE0"/>
    <w:lvl w:ilvl="0" w:tplc="DAC0ADA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410C09"/>
    <w:multiLevelType w:val="hybridMultilevel"/>
    <w:tmpl w:val="28CED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B606A51"/>
    <w:multiLevelType w:val="hybridMultilevel"/>
    <w:tmpl w:val="AC1C627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DC83F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DA2EF1"/>
    <w:multiLevelType w:val="singleLevel"/>
    <w:tmpl w:val="DEA86906"/>
    <w:lvl w:ilvl="0">
      <w:start w:val="1"/>
      <w:numFmt w:val="bullet"/>
      <w:pStyle w:val="Tablebullets1stindent"/>
      <w:lvlText w:val=""/>
      <w:lvlJc w:val="left"/>
      <w:pPr>
        <w:ind w:left="644" w:hanging="360"/>
      </w:pPr>
      <w:rPr>
        <w:rFonts w:ascii="Symbol" w:hAnsi="Symbol" w:hint="default"/>
        <w:color w:val="F79646"/>
      </w:rPr>
    </w:lvl>
  </w:abstractNum>
  <w:abstractNum w:abstractNumId="14" w15:restartNumberingAfterBreak="0">
    <w:nsid w:val="22FF5B81"/>
    <w:multiLevelType w:val="hybridMultilevel"/>
    <w:tmpl w:val="FE70A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40781B"/>
    <w:multiLevelType w:val="hybridMultilevel"/>
    <w:tmpl w:val="726AC41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4214C9"/>
    <w:multiLevelType w:val="multilevel"/>
    <w:tmpl w:val="47504E52"/>
    <w:styleLink w:val="Bullets"/>
    <w:lvl w:ilvl="0">
      <w:start w:val="1"/>
      <w:numFmt w:val="bullet"/>
      <w:lvlText w:val=""/>
      <w:lvlJc w:val="left"/>
      <w:pPr>
        <w:ind w:left="360" w:hanging="360"/>
      </w:pPr>
      <w:rPr>
        <w:rFonts w:ascii="Symbol" w:hAnsi="Symbol" w:hint="default"/>
        <w:color w:val="E36C0A"/>
      </w:rPr>
    </w:lvl>
    <w:lvl w:ilvl="1">
      <w:start w:val="1"/>
      <w:numFmt w:val="bullet"/>
      <w:lvlText w:val=""/>
      <w:lvlJc w:val="left"/>
      <w:pPr>
        <w:tabs>
          <w:tab w:val="num" w:pos="567"/>
        </w:tabs>
        <w:ind w:left="567" w:hanging="283"/>
      </w:pPr>
      <w:rPr>
        <w:rFonts w:ascii="Symbol" w:hAnsi="Symbol" w:hint="default"/>
        <w:color w:val="0D6F8B"/>
      </w:rPr>
    </w:lvl>
    <w:lvl w:ilvl="2">
      <w:start w:val="1"/>
      <w:numFmt w:val="bullet"/>
      <w:lvlText w:val="•"/>
      <w:lvlJc w:val="left"/>
      <w:pPr>
        <w:tabs>
          <w:tab w:val="num" w:pos="284"/>
        </w:tabs>
        <w:ind w:left="284" w:hanging="284"/>
      </w:pPr>
      <w:rPr>
        <w:rFonts w:ascii="Cambria" w:hAnsi="Cambria" w:hint="default"/>
        <w:color w:val="45C7ED"/>
      </w:rPr>
    </w:lvl>
    <w:lvl w:ilvl="3">
      <w:start w:val="1"/>
      <w:numFmt w:val="bullet"/>
      <w:lvlText w:val="•"/>
      <w:lvlJc w:val="left"/>
      <w:pPr>
        <w:tabs>
          <w:tab w:val="num" w:pos="567"/>
        </w:tabs>
        <w:ind w:left="567" w:hanging="283"/>
      </w:pPr>
      <w:rPr>
        <w:rFonts w:ascii="Cambria" w:hAnsi="Cambria" w:hint="default"/>
        <w:color w:val="45C7ED"/>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45C7ED"/>
      </w:rPr>
    </w:lvl>
    <w:lvl w:ilvl="6">
      <w:start w:val="1"/>
      <w:numFmt w:val="bullet"/>
      <w:lvlText w:val="•"/>
      <w:lvlJc w:val="left"/>
      <w:pPr>
        <w:tabs>
          <w:tab w:val="num" w:pos="437"/>
        </w:tabs>
        <w:ind w:left="437" w:hanging="171"/>
      </w:pPr>
      <w:rPr>
        <w:rFonts w:ascii="Cambria" w:hAnsi="Cambria" w:hint="default"/>
        <w:color w:val="45C7ED"/>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31275190"/>
    <w:multiLevelType w:val="hybridMultilevel"/>
    <w:tmpl w:val="AE06C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AA32B9"/>
    <w:multiLevelType w:val="hybridMultilevel"/>
    <w:tmpl w:val="4C4099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9610248"/>
    <w:multiLevelType w:val="hybridMultilevel"/>
    <w:tmpl w:val="D2E0898C"/>
    <w:lvl w:ilvl="0" w:tplc="0E9A8272">
      <w:start w:val="1"/>
      <w:numFmt w:val="bullet"/>
      <w:pStyle w:val="ListBullet"/>
      <w:lvlText w:val=""/>
      <w:lvlJc w:val="left"/>
      <w:pPr>
        <w:ind w:left="360" w:hanging="360"/>
      </w:pPr>
      <w:rPr>
        <w:rFonts w:ascii="Symbol" w:hAnsi="Symbol" w:hint="default"/>
        <w:color w:val="F796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5F4DEC"/>
    <w:multiLevelType w:val="hybridMultilevel"/>
    <w:tmpl w:val="3794B07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75E1D6E"/>
    <w:multiLevelType w:val="multilevel"/>
    <w:tmpl w:val="D52A2368"/>
    <w:lvl w:ilvl="0">
      <w:start w:val="1"/>
      <w:numFmt w:val="bullet"/>
      <w:lvlText w:val="•"/>
      <w:lvlJc w:val="left"/>
      <w:pPr>
        <w:ind w:left="360" w:hanging="360"/>
      </w:pPr>
      <w:rPr>
        <w:rFonts w:ascii="Cambria" w:hAnsi="Cambria" w:hint="default"/>
        <w:color w:val="45C7ED"/>
        <w:sz w:val="16"/>
      </w:rPr>
    </w:lvl>
    <w:lvl w:ilvl="1">
      <w:start w:val="1"/>
      <w:numFmt w:val="bullet"/>
      <w:lvlText w:val="–"/>
      <w:lvlJc w:val="left"/>
      <w:pPr>
        <w:tabs>
          <w:tab w:val="num" w:pos="567"/>
        </w:tabs>
        <w:ind w:left="567" w:hanging="283"/>
      </w:pPr>
      <w:rPr>
        <w:rFonts w:ascii="Arial" w:hAnsi="Arial" w:hint="default"/>
        <w:color w:val="auto"/>
        <w:sz w:val="17"/>
      </w:rPr>
    </w:lvl>
    <w:lvl w:ilvl="2">
      <w:start w:val="1"/>
      <w:numFmt w:val="bullet"/>
      <w:lvlText w:val="•"/>
      <w:lvlJc w:val="left"/>
      <w:pPr>
        <w:tabs>
          <w:tab w:val="num" w:pos="851"/>
        </w:tabs>
        <w:ind w:left="851" w:hanging="284"/>
      </w:pPr>
      <w:rPr>
        <w:rFonts w:ascii="Gotham Rounded Book" w:hAnsi="Gotham Rounded Book" w:hint="default"/>
        <w:sz w:val="16"/>
      </w:rPr>
    </w:lvl>
    <w:lvl w:ilvl="3">
      <w:start w:val="1"/>
      <w:numFmt w:val="bullet"/>
      <w:lvlText w:val="–"/>
      <w:lvlJc w:val="left"/>
      <w:pPr>
        <w:tabs>
          <w:tab w:val="num" w:pos="1134"/>
        </w:tabs>
        <w:ind w:left="1134" w:hanging="283"/>
      </w:pPr>
      <w:rPr>
        <w:rFonts w:ascii="Arial" w:hAnsi="Arial" w:hint="default"/>
        <w:color w:val="auto"/>
        <w:sz w:val="17"/>
      </w:rPr>
    </w:lvl>
    <w:lvl w:ilvl="4">
      <w:start w:val="1"/>
      <w:numFmt w:val="bullet"/>
      <w:lvlText w:val="•"/>
      <w:lvlJc w:val="left"/>
      <w:pPr>
        <w:tabs>
          <w:tab w:val="num" w:pos="227"/>
        </w:tabs>
        <w:ind w:left="227" w:hanging="227"/>
      </w:pPr>
      <w:rPr>
        <w:rFonts w:ascii="Gotham Rounded Book" w:hAnsi="Gotham Rounded Book" w:hint="default"/>
        <w:sz w:val="16"/>
      </w:rPr>
    </w:lvl>
    <w:lvl w:ilvl="5">
      <w:start w:val="1"/>
      <w:numFmt w:val="bullet"/>
      <w:lvlText w:val="–"/>
      <w:lvlJc w:val="left"/>
      <w:pPr>
        <w:tabs>
          <w:tab w:val="num" w:pos="454"/>
        </w:tabs>
        <w:ind w:left="454" w:hanging="227"/>
      </w:pPr>
      <w:rPr>
        <w:rFonts w:ascii="Arial" w:hAnsi="Arial" w:hint="default"/>
        <w:color w:val="auto"/>
        <w:sz w:val="17"/>
      </w:rPr>
    </w:lvl>
    <w:lvl w:ilvl="6">
      <w:start w:val="1"/>
      <w:numFmt w:val="bullet"/>
      <w:lvlText w:val="•"/>
      <w:lvlJc w:val="left"/>
      <w:pPr>
        <w:tabs>
          <w:tab w:val="num" w:pos="680"/>
        </w:tabs>
        <w:ind w:left="680" w:hanging="226"/>
      </w:pPr>
      <w:rPr>
        <w:rFonts w:ascii="Gotham Rounded Book" w:hAnsi="Gotham Rounded Book" w:hint="default"/>
        <w:sz w:val="16"/>
      </w:rPr>
    </w:lvl>
    <w:lvl w:ilvl="7">
      <w:start w:val="1"/>
      <w:numFmt w:val="bullet"/>
      <w:lvlText w:val="–"/>
      <w:lvlJc w:val="left"/>
      <w:pPr>
        <w:tabs>
          <w:tab w:val="num" w:pos="907"/>
        </w:tabs>
        <w:ind w:left="907" w:hanging="227"/>
      </w:pPr>
      <w:rPr>
        <w:rFonts w:ascii="Arial" w:hAnsi="Arial" w:hint="default"/>
        <w:color w:val="auto"/>
        <w:sz w:val="17"/>
      </w:rPr>
    </w:lvl>
    <w:lvl w:ilvl="8">
      <w:start w:val="1"/>
      <w:numFmt w:val="none"/>
      <w:lvlText w:val=""/>
      <w:lvlJc w:val="left"/>
      <w:pPr>
        <w:tabs>
          <w:tab w:val="num" w:pos="0"/>
        </w:tabs>
        <w:ind w:left="0" w:firstLine="0"/>
      </w:pPr>
      <w:rPr>
        <w:rFonts w:hint="default"/>
      </w:rPr>
    </w:lvl>
  </w:abstractNum>
  <w:abstractNum w:abstractNumId="22"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3" w15:restartNumberingAfterBreak="0">
    <w:nsid w:val="56647883"/>
    <w:multiLevelType w:val="hybridMultilevel"/>
    <w:tmpl w:val="E89E7C26"/>
    <w:lvl w:ilvl="0" w:tplc="925C5CF0">
      <w:start w:val="1"/>
      <w:numFmt w:val="bullet"/>
      <w:lvlText w:val=""/>
      <w:lvlJc w:val="left"/>
      <w:pPr>
        <w:tabs>
          <w:tab w:val="num" w:pos="720"/>
        </w:tabs>
        <w:ind w:left="720" w:hanging="360"/>
      </w:pPr>
      <w:rPr>
        <w:rFonts w:ascii="Symbol" w:hAnsi="Symbol" w:hint="default"/>
        <w:color w:val="auto"/>
      </w:rPr>
    </w:lvl>
    <w:lvl w:ilvl="1" w:tplc="1AEAF566">
      <w:start w:val="1"/>
      <w:numFmt w:val="bullet"/>
      <w:lvlText w:val="o"/>
      <w:lvlJc w:val="left"/>
      <w:pPr>
        <w:tabs>
          <w:tab w:val="num" w:pos="1440"/>
        </w:tabs>
        <w:ind w:left="1440" w:hanging="360"/>
      </w:pPr>
      <w:rPr>
        <w:rFonts w:ascii="Courier New" w:hAnsi="Courier New" w:cs="Courier New" w:hint="default"/>
        <w:color w:val="auto"/>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2FBCC594">
      <w:start w:val="1"/>
      <w:numFmt w:val="bullet"/>
      <w:lvlText w:val="-"/>
      <w:lvlJc w:val="left"/>
      <w:pPr>
        <w:ind w:left="3600" w:hanging="360"/>
      </w:pPr>
      <w:rPr>
        <w:rFonts w:ascii="Calibri" w:eastAsia="Calibri" w:hAnsi="Calibri" w:cs="Calibri"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E45D09"/>
    <w:multiLevelType w:val="hybridMultilevel"/>
    <w:tmpl w:val="14685D3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BC66B1B"/>
    <w:multiLevelType w:val="hybridMultilevel"/>
    <w:tmpl w:val="791E0EC8"/>
    <w:lvl w:ilvl="0" w:tplc="86CA608C">
      <w:start w:val="1"/>
      <w:numFmt w:val="bullet"/>
      <w:lvlText w:val=""/>
      <w:lvlJc w:val="left"/>
      <w:pPr>
        <w:ind w:left="360" w:hanging="360"/>
      </w:pPr>
      <w:rPr>
        <w:rFonts w:ascii="Symbol" w:hAnsi="Symbol" w:hint="default"/>
      </w:rPr>
    </w:lvl>
    <w:lvl w:ilvl="1" w:tplc="60702C44" w:tentative="1">
      <w:start w:val="1"/>
      <w:numFmt w:val="bullet"/>
      <w:lvlText w:val="o"/>
      <w:lvlJc w:val="left"/>
      <w:pPr>
        <w:ind w:left="1080" w:hanging="360"/>
      </w:pPr>
      <w:rPr>
        <w:rFonts w:ascii="Courier New" w:hAnsi="Courier New" w:cs="Courier New" w:hint="default"/>
      </w:rPr>
    </w:lvl>
    <w:lvl w:ilvl="2" w:tplc="AB44D55E" w:tentative="1">
      <w:start w:val="1"/>
      <w:numFmt w:val="bullet"/>
      <w:lvlText w:val=""/>
      <w:lvlJc w:val="left"/>
      <w:pPr>
        <w:ind w:left="1800" w:hanging="360"/>
      </w:pPr>
      <w:rPr>
        <w:rFonts w:ascii="Wingdings" w:hAnsi="Wingdings" w:hint="default"/>
      </w:rPr>
    </w:lvl>
    <w:lvl w:ilvl="3" w:tplc="27568406" w:tentative="1">
      <w:start w:val="1"/>
      <w:numFmt w:val="bullet"/>
      <w:lvlText w:val=""/>
      <w:lvlJc w:val="left"/>
      <w:pPr>
        <w:ind w:left="2520" w:hanging="360"/>
      </w:pPr>
      <w:rPr>
        <w:rFonts w:ascii="Symbol" w:hAnsi="Symbol" w:hint="default"/>
      </w:rPr>
    </w:lvl>
    <w:lvl w:ilvl="4" w:tplc="6A887900" w:tentative="1">
      <w:start w:val="1"/>
      <w:numFmt w:val="bullet"/>
      <w:lvlText w:val="o"/>
      <w:lvlJc w:val="left"/>
      <w:pPr>
        <w:ind w:left="3240" w:hanging="360"/>
      </w:pPr>
      <w:rPr>
        <w:rFonts w:ascii="Courier New" w:hAnsi="Courier New" w:cs="Courier New" w:hint="default"/>
      </w:rPr>
    </w:lvl>
    <w:lvl w:ilvl="5" w:tplc="5C56B852" w:tentative="1">
      <w:start w:val="1"/>
      <w:numFmt w:val="bullet"/>
      <w:lvlText w:val=""/>
      <w:lvlJc w:val="left"/>
      <w:pPr>
        <w:ind w:left="3960" w:hanging="360"/>
      </w:pPr>
      <w:rPr>
        <w:rFonts w:ascii="Wingdings" w:hAnsi="Wingdings" w:hint="default"/>
      </w:rPr>
    </w:lvl>
    <w:lvl w:ilvl="6" w:tplc="9A8675E4" w:tentative="1">
      <w:start w:val="1"/>
      <w:numFmt w:val="bullet"/>
      <w:lvlText w:val=""/>
      <w:lvlJc w:val="left"/>
      <w:pPr>
        <w:ind w:left="4680" w:hanging="360"/>
      </w:pPr>
      <w:rPr>
        <w:rFonts w:ascii="Symbol" w:hAnsi="Symbol" w:hint="default"/>
      </w:rPr>
    </w:lvl>
    <w:lvl w:ilvl="7" w:tplc="16CABE5E" w:tentative="1">
      <w:start w:val="1"/>
      <w:numFmt w:val="bullet"/>
      <w:lvlText w:val="o"/>
      <w:lvlJc w:val="left"/>
      <w:pPr>
        <w:ind w:left="5400" w:hanging="360"/>
      </w:pPr>
      <w:rPr>
        <w:rFonts w:ascii="Courier New" w:hAnsi="Courier New" w:cs="Courier New" w:hint="default"/>
      </w:rPr>
    </w:lvl>
    <w:lvl w:ilvl="8" w:tplc="A6F0BD08" w:tentative="1">
      <w:start w:val="1"/>
      <w:numFmt w:val="bullet"/>
      <w:lvlText w:val=""/>
      <w:lvlJc w:val="left"/>
      <w:pPr>
        <w:ind w:left="6120" w:hanging="360"/>
      </w:pPr>
      <w:rPr>
        <w:rFonts w:ascii="Wingdings" w:hAnsi="Wingdings" w:hint="default"/>
      </w:rPr>
    </w:lvl>
  </w:abstractNum>
  <w:abstractNum w:abstractNumId="26" w15:restartNumberingAfterBreak="0">
    <w:nsid w:val="70107864"/>
    <w:multiLevelType w:val="hybridMultilevel"/>
    <w:tmpl w:val="4A5AC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D11BEF"/>
    <w:multiLevelType w:val="hybridMultilevel"/>
    <w:tmpl w:val="A94C45EC"/>
    <w:lvl w:ilvl="0" w:tplc="0C090001">
      <w:start w:val="1"/>
      <w:numFmt w:val="decimal"/>
      <w:pStyle w:val="Chapternumber"/>
      <w:lvlText w:val="%1"/>
      <w:lvlJc w:val="left"/>
      <w:pPr>
        <w:ind w:left="36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8" w15:restartNumberingAfterBreak="0">
    <w:nsid w:val="74D55861"/>
    <w:multiLevelType w:val="hybridMultilevel"/>
    <w:tmpl w:val="103AECF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A561065"/>
    <w:multiLevelType w:val="hybridMultilevel"/>
    <w:tmpl w:val="52A279E6"/>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2"/>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2">
    <w:abstractNumId w:val="21"/>
  </w:num>
  <w:num w:numId="3">
    <w:abstractNumId w:val="6"/>
  </w:num>
  <w:num w:numId="4">
    <w:abstractNumId w:val="22"/>
  </w:num>
  <w:num w:numId="5">
    <w:abstractNumId w:val="27"/>
  </w:num>
  <w:num w:numId="6">
    <w:abstractNumId w:val="16"/>
  </w:num>
  <w:num w:numId="7">
    <w:abstractNumId w:val="4"/>
  </w:num>
  <w:num w:numId="8">
    <w:abstractNumId w:val="26"/>
  </w:num>
  <w:num w:numId="9">
    <w:abstractNumId w:val="7"/>
  </w:num>
  <w:num w:numId="10">
    <w:abstractNumId w:val="18"/>
  </w:num>
  <w:num w:numId="11">
    <w:abstractNumId w:val="25"/>
  </w:num>
  <w:num w:numId="12">
    <w:abstractNumId w:val="3"/>
  </w:num>
  <w:num w:numId="13">
    <w:abstractNumId w:val="17"/>
  </w:num>
  <w:num w:numId="14">
    <w:abstractNumId w:val="10"/>
  </w:num>
  <w:num w:numId="15">
    <w:abstractNumId w:val="5"/>
  </w:num>
  <w:num w:numId="16">
    <w:abstractNumId w:val="9"/>
  </w:num>
  <w:num w:numId="17">
    <w:abstractNumId w:val="2"/>
  </w:num>
  <w:num w:numId="18">
    <w:abstractNumId w:val="1"/>
  </w:num>
  <w:num w:numId="19">
    <w:abstractNumId w:val="1"/>
    <w:lvlOverride w:ilvl="0">
      <w:startOverride w:val="1"/>
    </w:lvlOverride>
  </w:num>
  <w:num w:numId="20">
    <w:abstractNumId w:val="19"/>
  </w:num>
  <w:num w:numId="21">
    <w:abstractNumId w:val="13"/>
  </w:num>
  <w:num w:numId="22">
    <w:abstractNumId w:val="0"/>
  </w:num>
  <w:num w:numId="23">
    <w:abstractNumId w:val="12"/>
  </w:num>
  <w:num w:numId="24">
    <w:abstractNumId w:val="29"/>
    <w:lvlOverride w:ilvl="0">
      <w:startOverride w:val="1"/>
    </w:lvlOverride>
    <w:lvlOverride w:ilvl="1"/>
    <w:lvlOverride w:ilvl="2"/>
    <w:lvlOverride w:ilvl="3"/>
    <w:lvlOverride w:ilvl="4"/>
    <w:lvlOverride w:ilvl="5"/>
    <w:lvlOverride w:ilvl="6"/>
    <w:lvlOverride w:ilvl="7"/>
    <w:lvlOverride w:ilvl="8"/>
  </w:num>
  <w:num w:numId="25">
    <w:abstractNumId w:val="20"/>
  </w:num>
  <w:num w:numId="26">
    <w:abstractNumId w:val="28"/>
  </w:num>
  <w:num w:numId="27">
    <w:abstractNumId w:val="24"/>
  </w:num>
  <w:num w:numId="28">
    <w:abstractNumId w:val="11"/>
  </w:num>
  <w:num w:numId="29">
    <w:abstractNumId w:val="15"/>
  </w:num>
  <w:num w:numId="30">
    <w:abstractNumId w:val="8"/>
  </w:num>
  <w:num w:numId="31">
    <w:abstractNumId w:val="2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hideSpellingErrors/>
  <w:hideGrammaticalErrors/>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69D"/>
    <w:rsid w:val="0000078B"/>
    <w:rsid w:val="000026D4"/>
    <w:rsid w:val="000041DC"/>
    <w:rsid w:val="000043FB"/>
    <w:rsid w:val="00010776"/>
    <w:rsid w:val="00010A13"/>
    <w:rsid w:val="00010B24"/>
    <w:rsid w:val="00012928"/>
    <w:rsid w:val="00013C05"/>
    <w:rsid w:val="00015A86"/>
    <w:rsid w:val="00016298"/>
    <w:rsid w:val="000169F8"/>
    <w:rsid w:val="00016C3A"/>
    <w:rsid w:val="00025493"/>
    <w:rsid w:val="000272BD"/>
    <w:rsid w:val="00031F0C"/>
    <w:rsid w:val="00033027"/>
    <w:rsid w:val="00034E23"/>
    <w:rsid w:val="00037010"/>
    <w:rsid w:val="000403F1"/>
    <w:rsid w:val="000418F6"/>
    <w:rsid w:val="000436AF"/>
    <w:rsid w:val="0004563F"/>
    <w:rsid w:val="00045B03"/>
    <w:rsid w:val="00045CD2"/>
    <w:rsid w:val="00051189"/>
    <w:rsid w:val="00051B61"/>
    <w:rsid w:val="0005314C"/>
    <w:rsid w:val="00054556"/>
    <w:rsid w:val="00060262"/>
    <w:rsid w:val="000606A0"/>
    <w:rsid w:val="00060B89"/>
    <w:rsid w:val="00061356"/>
    <w:rsid w:val="00061BF4"/>
    <w:rsid w:val="00061FA9"/>
    <w:rsid w:val="00062230"/>
    <w:rsid w:val="000640B3"/>
    <w:rsid w:val="000646E5"/>
    <w:rsid w:val="0006541D"/>
    <w:rsid w:val="00066FF8"/>
    <w:rsid w:val="0007280F"/>
    <w:rsid w:val="000749C5"/>
    <w:rsid w:val="00076BA6"/>
    <w:rsid w:val="000775EB"/>
    <w:rsid w:val="00080878"/>
    <w:rsid w:val="00081B37"/>
    <w:rsid w:val="000841B0"/>
    <w:rsid w:val="0008446F"/>
    <w:rsid w:val="000859C5"/>
    <w:rsid w:val="00086A4C"/>
    <w:rsid w:val="0009015D"/>
    <w:rsid w:val="0009057F"/>
    <w:rsid w:val="00090B8D"/>
    <w:rsid w:val="000915A2"/>
    <w:rsid w:val="00092724"/>
    <w:rsid w:val="00095546"/>
    <w:rsid w:val="00096C17"/>
    <w:rsid w:val="00096C81"/>
    <w:rsid w:val="000972C5"/>
    <w:rsid w:val="0009792A"/>
    <w:rsid w:val="000A0882"/>
    <w:rsid w:val="000B50AA"/>
    <w:rsid w:val="000B59D5"/>
    <w:rsid w:val="000C31DC"/>
    <w:rsid w:val="000C6452"/>
    <w:rsid w:val="000D280B"/>
    <w:rsid w:val="000D61F3"/>
    <w:rsid w:val="000D7181"/>
    <w:rsid w:val="000D7DBA"/>
    <w:rsid w:val="000E034A"/>
    <w:rsid w:val="000E0F1F"/>
    <w:rsid w:val="000E13A5"/>
    <w:rsid w:val="000E21F5"/>
    <w:rsid w:val="000E2F53"/>
    <w:rsid w:val="000E43D3"/>
    <w:rsid w:val="000E6DB5"/>
    <w:rsid w:val="000E7A72"/>
    <w:rsid w:val="000F2C5A"/>
    <w:rsid w:val="000F3017"/>
    <w:rsid w:val="000F7EB1"/>
    <w:rsid w:val="0010037B"/>
    <w:rsid w:val="001003E0"/>
    <w:rsid w:val="00104826"/>
    <w:rsid w:val="00105C72"/>
    <w:rsid w:val="00105F30"/>
    <w:rsid w:val="001105DF"/>
    <w:rsid w:val="00113501"/>
    <w:rsid w:val="00116350"/>
    <w:rsid w:val="001167F0"/>
    <w:rsid w:val="00120110"/>
    <w:rsid w:val="00120790"/>
    <w:rsid w:val="00120890"/>
    <w:rsid w:val="0012163E"/>
    <w:rsid w:val="00122594"/>
    <w:rsid w:val="00126C27"/>
    <w:rsid w:val="0013041D"/>
    <w:rsid w:val="00130ADC"/>
    <w:rsid w:val="00131257"/>
    <w:rsid w:val="00133DE8"/>
    <w:rsid w:val="001341D4"/>
    <w:rsid w:val="001345DB"/>
    <w:rsid w:val="00140218"/>
    <w:rsid w:val="001419BF"/>
    <w:rsid w:val="00146BB7"/>
    <w:rsid w:val="00152C6F"/>
    <w:rsid w:val="00153DC0"/>
    <w:rsid w:val="00155464"/>
    <w:rsid w:val="001629D4"/>
    <w:rsid w:val="0016375A"/>
    <w:rsid w:val="00165AB5"/>
    <w:rsid w:val="0017225F"/>
    <w:rsid w:val="00180492"/>
    <w:rsid w:val="00180664"/>
    <w:rsid w:val="00180C7C"/>
    <w:rsid w:val="00180CA5"/>
    <w:rsid w:val="00182443"/>
    <w:rsid w:val="001829A0"/>
    <w:rsid w:val="001832F6"/>
    <w:rsid w:val="001836AF"/>
    <w:rsid w:val="00191F5F"/>
    <w:rsid w:val="001934B1"/>
    <w:rsid w:val="001939C8"/>
    <w:rsid w:val="00196790"/>
    <w:rsid w:val="00197074"/>
    <w:rsid w:val="00197120"/>
    <w:rsid w:val="001A0954"/>
    <w:rsid w:val="001A1088"/>
    <w:rsid w:val="001A1F1E"/>
    <w:rsid w:val="001A2271"/>
    <w:rsid w:val="001A4D2F"/>
    <w:rsid w:val="001A5C44"/>
    <w:rsid w:val="001A6087"/>
    <w:rsid w:val="001B0475"/>
    <w:rsid w:val="001B295C"/>
    <w:rsid w:val="001B318B"/>
    <w:rsid w:val="001B7F64"/>
    <w:rsid w:val="001C0FC4"/>
    <w:rsid w:val="001C4768"/>
    <w:rsid w:val="001C4EBA"/>
    <w:rsid w:val="001C6412"/>
    <w:rsid w:val="001D329D"/>
    <w:rsid w:val="001D5CEA"/>
    <w:rsid w:val="001E00FD"/>
    <w:rsid w:val="001E0297"/>
    <w:rsid w:val="001E17AD"/>
    <w:rsid w:val="001E20A9"/>
    <w:rsid w:val="001E3D9A"/>
    <w:rsid w:val="001E516E"/>
    <w:rsid w:val="001E64F0"/>
    <w:rsid w:val="001E6EFB"/>
    <w:rsid w:val="001E77CD"/>
    <w:rsid w:val="001F13DC"/>
    <w:rsid w:val="001F1A00"/>
    <w:rsid w:val="001F23B0"/>
    <w:rsid w:val="001F3098"/>
    <w:rsid w:val="001F392F"/>
    <w:rsid w:val="001F4914"/>
    <w:rsid w:val="001F4B5A"/>
    <w:rsid w:val="001F5A01"/>
    <w:rsid w:val="001F5BF8"/>
    <w:rsid w:val="001F61AE"/>
    <w:rsid w:val="00201922"/>
    <w:rsid w:val="00202058"/>
    <w:rsid w:val="00202AE0"/>
    <w:rsid w:val="002036A2"/>
    <w:rsid w:val="00205DE8"/>
    <w:rsid w:val="00207ADC"/>
    <w:rsid w:val="00207CA3"/>
    <w:rsid w:val="002131FD"/>
    <w:rsid w:val="00213350"/>
    <w:rsid w:val="0021476E"/>
    <w:rsid w:val="00216C27"/>
    <w:rsid w:val="00220271"/>
    <w:rsid w:val="002247D8"/>
    <w:rsid w:val="00224D47"/>
    <w:rsid w:val="00225559"/>
    <w:rsid w:val="00231669"/>
    <w:rsid w:val="00233957"/>
    <w:rsid w:val="00233EF2"/>
    <w:rsid w:val="00234BC8"/>
    <w:rsid w:val="00235A3A"/>
    <w:rsid w:val="00235FC7"/>
    <w:rsid w:val="002369C8"/>
    <w:rsid w:val="00237A7C"/>
    <w:rsid w:val="002406DF"/>
    <w:rsid w:val="00240BCD"/>
    <w:rsid w:val="00240CA9"/>
    <w:rsid w:val="002417FE"/>
    <w:rsid w:val="00246EE1"/>
    <w:rsid w:val="002470FA"/>
    <w:rsid w:val="0024780E"/>
    <w:rsid w:val="00252FF5"/>
    <w:rsid w:val="00253BA3"/>
    <w:rsid w:val="00254E63"/>
    <w:rsid w:val="00257CEE"/>
    <w:rsid w:val="00261442"/>
    <w:rsid w:val="00266115"/>
    <w:rsid w:val="002674FC"/>
    <w:rsid w:val="0027084F"/>
    <w:rsid w:val="00273A38"/>
    <w:rsid w:val="00274B74"/>
    <w:rsid w:val="00276859"/>
    <w:rsid w:val="0027761E"/>
    <w:rsid w:val="00277808"/>
    <w:rsid w:val="002846EE"/>
    <w:rsid w:val="00284D5E"/>
    <w:rsid w:val="002879C3"/>
    <w:rsid w:val="002904FB"/>
    <w:rsid w:val="002907DB"/>
    <w:rsid w:val="00294D97"/>
    <w:rsid w:val="00296DF2"/>
    <w:rsid w:val="00297CD0"/>
    <w:rsid w:val="002A5A8C"/>
    <w:rsid w:val="002B1258"/>
    <w:rsid w:val="002B25F3"/>
    <w:rsid w:val="002B4A6F"/>
    <w:rsid w:val="002B7919"/>
    <w:rsid w:val="002C2852"/>
    <w:rsid w:val="002C3FDC"/>
    <w:rsid w:val="002C717F"/>
    <w:rsid w:val="002C7624"/>
    <w:rsid w:val="002D0080"/>
    <w:rsid w:val="002D06F0"/>
    <w:rsid w:val="002D3885"/>
    <w:rsid w:val="002D3DAE"/>
    <w:rsid w:val="002D4A6C"/>
    <w:rsid w:val="002D536F"/>
    <w:rsid w:val="002D5FBA"/>
    <w:rsid w:val="002D6440"/>
    <w:rsid w:val="002D6A79"/>
    <w:rsid w:val="002D6ABC"/>
    <w:rsid w:val="002E020E"/>
    <w:rsid w:val="002E0C44"/>
    <w:rsid w:val="002E18E0"/>
    <w:rsid w:val="002E5FA8"/>
    <w:rsid w:val="002E6351"/>
    <w:rsid w:val="002E6BF8"/>
    <w:rsid w:val="002F2F55"/>
    <w:rsid w:val="002F723B"/>
    <w:rsid w:val="0030048E"/>
    <w:rsid w:val="00304E9B"/>
    <w:rsid w:val="00305D87"/>
    <w:rsid w:val="003110A7"/>
    <w:rsid w:val="003114F0"/>
    <w:rsid w:val="0031239E"/>
    <w:rsid w:val="00315636"/>
    <w:rsid w:val="003165FB"/>
    <w:rsid w:val="00316D11"/>
    <w:rsid w:val="003205EC"/>
    <w:rsid w:val="00323103"/>
    <w:rsid w:val="00323F57"/>
    <w:rsid w:val="00323F95"/>
    <w:rsid w:val="00325635"/>
    <w:rsid w:val="0032750F"/>
    <w:rsid w:val="0032777B"/>
    <w:rsid w:val="00327EFB"/>
    <w:rsid w:val="00330D57"/>
    <w:rsid w:val="00330DA3"/>
    <w:rsid w:val="003311B7"/>
    <w:rsid w:val="003321B1"/>
    <w:rsid w:val="003359EB"/>
    <w:rsid w:val="0034101C"/>
    <w:rsid w:val="003414F8"/>
    <w:rsid w:val="003421DE"/>
    <w:rsid w:val="00342DCD"/>
    <w:rsid w:val="00344C5B"/>
    <w:rsid w:val="00345ADC"/>
    <w:rsid w:val="003526A9"/>
    <w:rsid w:val="0035281C"/>
    <w:rsid w:val="00354504"/>
    <w:rsid w:val="0035512F"/>
    <w:rsid w:val="00356C70"/>
    <w:rsid w:val="00357988"/>
    <w:rsid w:val="003605CA"/>
    <w:rsid w:val="003613EC"/>
    <w:rsid w:val="00361F42"/>
    <w:rsid w:val="0036299D"/>
    <w:rsid w:val="003630E6"/>
    <w:rsid w:val="003643B3"/>
    <w:rsid w:val="00365614"/>
    <w:rsid w:val="00370955"/>
    <w:rsid w:val="00374D1C"/>
    <w:rsid w:val="00375B3E"/>
    <w:rsid w:val="003769C1"/>
    <w:rsid w:val="00376B7A"/>
    <w:rsid w:val="003800CE"/>
    <w:rsid w:val="003810B5"/>
    <w:rsid w:val="003854A0"/>
    <w:rsid w:val="00386C17"/>
    <w:rsid w:val="00397016"/>
    <w:rsid w:val="003A2C90"/>
    <w:rsid w:val="003A33CE"/>
    <w:rsid w:val="003A7E59"/>
    <w:rsid w:val="003B1624"/>
    <w:rsid w:val="003B52FC"/>
    <w:rsid w:val="003B757A"/>
    <w:rsid w:val="003B7C41"/>
    <w:rsid w:val="003C08AA"/>
    <w:rsid w:val="003C129B"/>
    <w:rsid w:val="003C223C"/>
    <w:rsid w:val="003C327A"/>
    <w:rsid w:val="003D11C0"/>
    <w:rsid w:val="003D2153"/>
    <w:rsid w:val="003D40D2"/>
    <w:rsid w:val="003D7702"/>
    <w:rsid w:val="003E190D"/>
    <w:rsid w:val="003E4241"/>
    <w:rsid w:val="003E551D"/>
    <w:rsid w:val="003E5DAB"/>
    <w:rsid w:val="003F1373"/>
    <w:rsid w:val="003F4868"/>
    <w:rsid w:val="003F54D5"/>
    <w:rsid w:val="003F6264"/>
    <w:rsid w:val="003F7B06"/>
    <w:rsid w:val="00400EE4"/>
    <w:rsid w:val="004015C2"/>
    <w:rsid w:val="0040260B"/>
    <w:rsid w:val="00403EA9"/>
    <w:rsid w:val="00406326"/>
    <w:rsid w:val="00410120"/>
    <w:rsid w:val="00410BDE"/>
    <w:rsid w:val="004111F8"/>
    <w:rsid w:val="004139EE"/>
    <w:rsid w:val="00413DE0"/>
    <w:rsid w:val="004159B7"/>
    <w:rsid w:val="00416BE5"/>
    <w:rsid w:val="004210FB"/>
    <w:rsid w:val="00426032"/>
    <w:rsid w:val="0043041B"/>
    <w:rsid w:val="00433846"/>
    <w:rsid w:val="004354D0"/>
    <w:rsid w:val="0043723B"/>
    <w:rsid w:val="00437291"/>
    <w:rsid w:val="00441C9B"/>
    <w:rsid w:val="00442044"/>
    <w:rsid w:val="0044302F"/>
    <w:rsid w:val="00447D68"/>
    <w:rsid w:val="0045585F"/>
    <w:rsid w:val="00455E56"/>
    <w:rsid w:val="00456BF3"/>
    <w:rsid w:val="00461C06"/>
    <w:rsid w:val="00463FF8"/>
    <w:rsid w:val="00470688"/>
    <w:rsid w:val="004719A3"/>
    <w:rsid w:val="00474E81"/>
    <w:rsid w:val="00475496"/>
    <w:rsid w:val="004758DC"/>
    <w:rsid w:val="00476FA2"/>
    <w:rsid w:val="00477140"/>
    <w:rsid w:val="00477EDF"/>
    <w:rsid w:val="00480682"/>
    <w:rsid w:val="00482C62"/>
    <w:rsid w:val="0048329A"/>
    <w:rsid w:val="00483568"/>
    <w:rsid w:val="00491485"/>
    <w:rsid w:val="00491FE6"/>
    <w:rsid w:val="00495364"/>
    <w:rsid w:val="0049722F"/>
    <w:rsid w:val="00497236"/>
    <w:rsid w:val="00497754"/>
    <w:rsid w:val="004A013F"/>
    <w:rsid w:val="004A0A15"/>
    <w:rsid w:val="004A14A1"/>
    <w:rsid w:val="004A1719"/>
    <w:rsid w:val="004A5BE6"/>
    <w:rsid w:val="004A67C3"/>
    <w:rsid w:val="004A6EC6"/>
    <w:rsid w:val="004A7986"/>
    <w:rsid w:val="004B05DC"/>
    <w:rsid w:val="004B1948"/>
    <w:rsid w:val="004B23CE"/>
    <w:rsid w:val="004B242A"/>
    <w:rsid w:val="004B315B"/>
    <w:rsid w:val="004B466A"/>
    <w:rsid w:val="004C0613"/>
    <w:rsid w:val="004C069D"/>
    <w:rsid w:val="004C0CCC"/>
    <w:rsid w:val="004C3CBF"/>
    <w:rsid w:val="004C3DBE"/>
    <w:rsid w:val="004C6614"/>
    <w:rsid w:val="004C7E63"/>
    <w:rsid w:val="004D03B4"/>
    <w:rsid w:val="004D39C7"/>
    <w:rsid w:val="004D6730"/>
    <w:rsid w:val="004D71E4"/>
    <w:rsid w:val="004E0CD3"/>
    <w:rsid w:val="004E3B3C"/>
    <w:rsid w:val="004E3FFE"/>
    <w:rsid w:val="004E5727"/>
    <w:rsid w:val="004E7877"/>
    <w:rsid w:val="004E7F70"/>
    <w:rsid w:val="004F40FD"/>
    <w:rsid w:val="004F5076"/>
    <w:rsid w:val="004F600A"/>
    <w:rsid w:val="004F7C8F"/>
    <w:rsid w:val="00500F93"/>
    <w:rsid w:val="00503017"/>
    <w:rsid w:val="005048D7"/>
    <w:rsid w:val="00506984"/>
    <w:rsid w:val="00512DDE"/>
    <w:rsid w:val="00514270"/>
    <w:rsid w:val="0051695E"/>
    <w:rsid w:val="00520828"/>
    <w:rsid w:val="005215ED"/>
    <w:rsid w:val="00522005"/>
    <w:rsid w:val="0052236E"/>
    <w:rsid w:val="0052457C"/>
    <w:rsid w:val="00525305"/>
    <w:rsid w:val="005259DA"/>
    <w:rsid w:val="0052632F"/>
    <w:rsid w:val="00530827"/>
    <w:rsid w:val="005311DB"/>
    <w:rsid w:val="00534ADF"/>
    <w:rsid w:val="0054233A"/>
    <w:rsid w:val="005428F4"/>
    <w:rsid w:val="00542F25"/>
    <w:rsid w:val="00547072"/>
    <w:rsid w:val="00547DC3"/>
    <w:rsid w:val="00551791"/>
    <w:rsid w:val="005537F7"/>
    <w:rsid w:val="0055427A"/>
    <w:rsid w:val="0055567A"/>
    <w:rsid w:val="0055594E"/>
    <w:rsid w:val="00557FB5"/>
    <w:rsid w:val="0056090A"/>
    <w:rsid w:val="00560F00"/>
    <w:rsid w:val="0056568D"/>
    <w:rsid w:val="00567DC8"/>
    <w:rsid w:val="0057550D"/>
    <w:rsid w:val="00575BB9"/>
    <w:rsid w:val="005765A5"/>
    <w:rsid w:val="005853B8"/>
    <w:rsid w:val="00586DF3"/>
    <w:rsid w:val="005872C2"/>
    <w:rsid w:val="005879AC"/>
    <w:rsid w:val="00590336"/>
    <w:rsid w:val="00590E37"/>
    <w:rsid w:val="0059121A"/>
    <w:rsid w:val="005939DD"/>
    <w:rsid w:val="00593F8F"/>
    <w:rsid w:val="00594E23"/>
    <w:rsid w:val="00595649"/>
    <w:rsid w:val="00596053"/>
    <w:rsid w:val="00596B24"/>
    <w:rsid w:val="005A0B0B"/>
    <w:rsid w:val="005A2269"/>
    <w:rsid w:val="005A3507"/>
    <w:rsid w:val="005A382A"/>
    <w:rsid w:val="005A436D"/>
    <w:rsid w:val="005A6507"/>
    <w:rsid w:val="005B1403"/>
    <w:rsid w:val="005B2D21"/>
    <w:rsid w:val="005B4C95"/>
    <w:rsid w:val="005B56D9"/>
    <w:rsid w:val="005B69AF"/>
    <w:rsid w:val="005B6C38"/>
    <w:rsid w:val="005C3DBB"/>
    <w:rsid w:val="005C5F75"/>
    <w:rsid w:val="005C661F"/>
    <w:rsid w:val="005D0496"/>
    <w:rsid w:val="005D12B7"/>
    <w:rsid w:val="005D1DA9"/>
    <w:rsid w:val="005D2AAF"/>
    <w:rsid w:val="005D2CB4"/>
    <w:rsid w:val="005D3657"/>
    <w:rsid w:val="005D5B5F"/>
    <w:rsid w:val="005E0C11"/>
    <w:rsid w:val="005E28C3"/>
    <w:rsid w:val="005E374D"/>
    <w:rsid w:val="005E3E81"/>
    <w:rsid w:val="005F00A1"/>
    <w:rsid w:val="005F0D98"/>
    <w:rsid w:val="005F4220"/>
    <w:rsid w:val="006015D2"/>
    <w:rsid w:val="00602AAE"/>
    <w:rsid w:val="00607F7F"/>
    <w:rsid w:val="0061026F"/>
    <w:rsid w:val="00610A55"/>
    <w:rsid w:val="00610C52"/>
    <w:rsid w:val="006117E5"/>
    <w:rsid w:val="00612226"/>
    <w:rsid w:val="00614536"/>
    <w:rsid w:val="00625BC0"/>
    <w:rsid w:val="00627AA6"/>
    <w:rsid w:val="00630F6B"/>
    <w:rsid w:val="00631829"/>
    <w:rsid w:val="00633565"/>
    <w:rsid w:val="00634BF8"/>
    <w:rsid w:val="00636CF8"/>
    <w:rsid w:val="006407B1"/>
    <w:rsid w:val="0064113A"/>
    <w:rsid w:val="0064310D"/>
    <w:rsid w:val="00644C4A"/>
    <w:rsid w:val="006456F6"/>
    <w:rsid w:val="006518DC"/>
    <w:rsid w:val="00651E39"/>
    <w:rsid w:val="00651F5B"/>
    <w:rsid w:val="006525E5"/>
    <w:rsid w:val="00660901"/>
    <w:rsid w:val="00660D25"/>
    <w:rsid w:val="00662539"/>
    <w:rsid w:val="00663BBE"/>
    <w:rsid w:val="00664159"/>
    <w:rsid w:val="00665043"/>
    <w:rsid w:val="00666740"/>
    <w:rsid w:val="006669E1"/>
    <w:rsid w:val="00666EBD"/>
    <w:rsid w:val="0067086D"/>
    <w:rsid w:val="006730CC"/>
    <w:rsid w:val="006754E5"/>
    <w:rsid w:val="00675A7C"/>
    <w:rsid w:val="00676B64"/>
    <w:rsid w:val="00676F04"/>
    <w:rsid w:val="006778B3"/>
    <w:rsid w:val="006819F1"/>
    <w:rsid w:val="006838CA"/>
    <w:rsid w:val="00683A75"/>
    <w:rsid w:val="00685607"/>
    <w:rsid w:val="0068611B"/>
    <w:rsid w:val="00686906"/>
    <w:rsid w:val="00691804"/>
    <w:rsid w:val="0069262A"/>
    <w:rsid w:val="00695E2D"/>
    <w:rsid w:val="0069664C"/>
    <w:rsid w:val="00697214"/>
    <w:rsid w:val="006A155A"/>
    <w:rsid w:val="006A2D50"/>
    <w:rsid w:val="006A4CEC"/>
    <w:rsid w:val="006A63F0"/>
    <w:rsid w:val="006B1695"/>
    <w:rsid w:val="006B21FC"/>
    <w:rsid w:val="006B357E"/>
    <w:rsid w:val="006C0AC1"/>
    <w:rsid w:val="006C3656"/>
    <w:rsid w:val="006C4428"/>
    <w:rsid w:val="006C4611"/>
    <w:rsid w:val="006C51DC"/>
    <w:rsid w:val="006C7702"/>
    <w:rsid w:val="006C78EC"/>
    <w:rsid w:val="006D2D05"/>
    <w:rsid w:val="006D475A"/>
    <w:rsid w:val="006D488C"/>
    <w:rsid w:val="006D4F8D"/>
    <w:rsid w:val="006D71A1"/>
    <w:rsid w:val="006E5710"/>
    <w:rsid w:val="006E5E79"/>
    <w:rsid w:val="006E6C23"/>
    <w:rsid w:val="006E76AF"/>
    <w:rsid w:val="006F68B9"/>
    <w:rsid w:val="006F73A7"/>
    <w:rsid w:val="00700BDE"/>
    <w:rsid w:val="00707C33"/>
    <w:rsid w:val="00710887"/>
    <w:rsid w:val="00715A60"/>
    <w:rsid w:val="0071646F"/>
    <w:rsid w:val="00723AD9"/>
    <w:rsid w:val="00725158"/>
    <w:rsid w:val="00726034"/>
    <w:rsid w:val="00730ADC"/>
    <w:rsid w:val="007319E6"/>
    <w:rsid w:val="00732A67"/>
    <w:rsid w:val="00735D6A"/>
    <w:rsid w:val="0073722C"/>
    <w:rsid w:val="00737379"/>
    <w:rsid w:val="007379F6"/>
    <w:rsid w:val="00740E86"/>
    <w:rsid w:val="007441EB"/>
    <w:rsid w:val="007444B5"/>
    <w:rsid w:val="00747569"/>
    <w:rsid w:val="00750AF0"/>
    <w:rsid w:val="00754AA5"/>
    <w:rsid w:val="00754FDB"/>
    <w:rsid w:val="00755EB9"/>
    <w:rsid w:val="0076359F"/>
    <w:rsid w:val="00765EE9"/>
    <w:rsid w:val="00766493"/>
    <w:rsid w:val="00771307"/>
    <w:rsid w:val="00771702"/>
    <w:rsid w:val="0077323B"/>
    <w:rsid w:val="00773270"/>
    <w:rsid w:val="007732FF"/>
    <w:rsid w:val="00774947"/>
    <w:rsid w:val="00774A1E"/>
    <w:rsid w:val="007762E9"/>
    <w:rsid w:val="00777443"/>
    <w:rsid w:val="00782507"/>
    <w:rsid w:val="00782541"/>
    <w:rsid w:val="007856FD"/>
    <w:rsid w:val="0078713A"/>
    <w:rsid w:val="00790177"/>
    <w:rsid w:val="007903EE"/>
    <w:rsid w:val="00791A03"/>
    <w:rsid w:val="007940BD"/>
    <w:rsid w:val="00794B22"/>
    <w:rsid w:val="007951B4"/>
    <w:rsid w:val="007976F4"/>
    <w:rsid w:val="007978A4"/>
    <w:rsid w:val="007A0ACF"/>
    <w:rsid w:val="007A5B84"/>
    <w:rsid w:val="007A6E3F"/>
    <w:rsid w:val="007B21FA"/>
    <w:rsid w:val="007B3914"/>
    <w:rsid w:val="007B5BC0"/>
    <w:rsid w:val="007B70F0"/>
    <w:rsid w:val="007C2E37"/>
    <w:rsid w:val="007C5163"/>
    <w:rsid w:val="007C5D1B"/>
    <w:rsid w:val="007D27CE"/>
    <w:rsid w:val="007E47F7"/>
    <w:rsid w:val="007E498E"/>
    <w:rsid w:val="007E5F7C"/>
    <w:rsid w:val="007E7D8B"/>
    <w:rsid w:val="007F08B9"/>
    <w:rsid w:val="007F1B3E"/>
    <w:rsid w:val="007F2F40"/>
    <w:rsid w:val="007F772D"/>
    <w:rsid w:val="00802326"/>
    <w:rsid w:val="00804031"/>
    <w:rsid w:val="008055B0"/>
    <w:rsid w:val="00807A9A"/>
    <w:rsid w:val="00813AB3"/>
    <w:rsid w:val="008157E3"/>
    <w:rsid w:val="00820E8E"/>
    <w:rsid w:val="008222F1"/>
    <w:rsid w:val="0082240B"/>
    <w:rsid w:val="008227B5"/>
    <w:rsid w:val="0082408D"/>
    <w:rsid w:val="00827B28"/>
    <w:rsid w:val="0083007F"/>
    <w:rsid w:val="0083079C"/>
    <w:rsid w:val="00831131"/>
    <w:rsid w:val="008313E2"/>
    <w:rsid w:val="00832653"/>
    <w:rsid w:val="0083366A"/>
    <w:rsid w:val="00835A93"/>
    <w:rsid w:val="008404A5"/>
    <w:rsid w:val="00840C76"/>
    <w:rsid w:val="00842929"/>
    <w:rsid w:val="00843EF8"/>
    <w:rsid w:val="00847DA7"/>
    <w:rsid w:val="00847F40"/>
    <w:rsid w:val="0085179F"/>
    <w:rsid w:val="00851B40"/>
    <w:rsid w:val="008529A3"/>
    <w:rsid w:val="00852BCA"/>
    <w:rsid w:val="008536BF"/>
    <w:rsid w:val="008541FA"/>
    <w:rsid w:val="0085533A"/>
    <w:rsid w:val="008611A2"/>
    <w:rsid w:val="00861C26"/>
    <w:rsid w:val="00864F59"/>
    <w:rsid w:val="008722A2"/>
    <w:rsid w:val="008764D6"/>
    <w:rsid w:val="00876C83"/>
    <w:rsid w:val="0087768A"/>
    <w:rsid w:val="00877D62"/>
    <w:rsid w:val="008803AA"/>
    <w:rsid w:val="00882B0C"/>
    <w:rsid w:val="00882B2F"/>
    <w:rsid w:val="00886AA9"/>
    <w:rsid w:val="0088765D"/>
    <w:rsid w:val="008904F6"/>
    <w:rsid w:val="00894A00"/>
    <w:rsid w:val="00894C65"/>
    <w:rsid w:val="008A13AE"/>
    <w:rsid w:val="008A1591"/>
    <w:rsid w:val="008A1645"/>
    <w:rsid w:val="008A4363"/>
    <w:rsid w:val="008A4760"/>
    <w:rsid w:val="008A68FD"/>
    <w:rsid w:val="008A6F67"/>
    <w:rsid w:val="008B0B71"/>
    <w:rsid w:val="008B2F2F"/>
    <w:rsid w:val="008B4A40"/>
    <w:rsid w:val="008B4CB7"/>
    <w:rsid w:val="008B6A92"/>
    <w:rsid w:val="008B6C63"/>
    <w:rsid w:val="008B71E5"/>
    <w:rsid w:val="008C0B32"/>
    <w:rsid w:val="008C0BBB"/>
    <w:rsid w:val="008C184D"/>
    <w:rsid w:val="008C1AD6"/>
    <w:rsid w:val="008C27BB"/>
    <w:rsid w:val="008C34BB"/>
    <w:rsid w:val="008C4568"/>
    <w:rsid w:val="008C685D"/>
    <w:rsid w:val="008C7C72"/>
    <w:rsid w:val="008D0950"/>
    <w:rsid w:val="008D0AE0"/>
    <w:rsid w:val="008D1C9A"/>
    <w:rsid w:val="008D2D0E"/>
    <w:rsid w:val="008E2C63"/>
    <w:rsid w:val="008E2E87"/>
    <w:rsid w:val="008E4D7F"/>
    <w:rsid w:val="008E52E0"/>
    <w:rsid w:val="008F07DF"/>
    <w:rsid w:val="008F1C8A"/>
    <w:rsid w:val="008F1EE5"/>
    <w:rsid w:val="008F3949"/>
    <w:rsid w:val="008F6E9B"/>
    <w:rsid w:val="00901524"/>
    <w:rsid w:val="00902394"/>
    <w:rsid w:val="00904B60"/>
    <w:rsid w:val="0090622C"/>
    <w:rsid w:val="00906296"/>
    <w:rsid w:val="00906F9A"/>
    <w:rsid w:val="00907C3D"/>
    <w:rsid w:val="00912B43"/>
    <w:rsid w:val="00912D0C"/>
    <w:rsid w:val="00913F09"/>
    <w:rsid w:val="00914DBD"/>
    <w:rsid w:val="0092079F"/>
    <w:rsid w:val="00920929"/>
    <w:rsid w:val="00920A25"/>
    <w:rsid w:val="009214EA"/>
    <w:rsid w:val="00922654"/>
    <w:rsid w:val="00922AA3"/>
    <w:rsid w:val="00926346"/>
    <w:rsid w:val="00926613"/>
    <w:rsid w:val="00927FF3"/>
    <w:rsid w:val="00932CA4"/>
    <w:rsid w:val="00932CC6"/>
    <w:rsid w:val="0093315A"/>
    <w:rsid w:val="0093558A"/>
    <w:rsid w:val="00937EAD"/>
    <w:rsid w:val="00940B87"/>
    <w:rsid w:val="00940CD3"/>
    <w:rsid w:val="00941A58"/>
    <w:rsid w:val="00952392"/>
    <w:rsid w:val="0095262B"/>
    <w:rsid w:val="00953531"/>
    <w:rsid w:val="00954309"/>
    <w:rsid w:val="00954EF7"/>
    <w:rsid w:val="009603E0"/>
    <w:rsid w:val="00960DD9"/>
    <w:rsid w:val="00961382"/>
    <w:rsid w:val="00961A5A"/>
    <w:rsid w:val="00962549"/>
    <w:rsid w:val="00963A77"/>
    <w:rsid w:val="0097078B"/>
    <w:rsid w:val="00971300"/>
    <w:rsid w:val="0098052A"/>
    <w:rsid w:val="009818C3"/>
    <w:rsid w:val="00983CD1"/>
    <w:rsid w:val="0098778C"/>
    <w:rsid w:val="0099073D"/>
    <w:rsid w:val="009913D5"/>
    <w:rsid w:val="00991B37"/>
    <w:rsid w:val="0099223F"/>
    <w:rsid w:val="00994925"/>
    <w:rsid w:val="00994C3B"/>
    <w:rsid w:val="00995253"/>
    <w:rsid w:val="009A4A5D"/>
    <w:rsid w:val="009A5791"/>
    <w:rsid w:val="009A6219"/>
    <w:rsid w:val="009A70D7"/>
    <w:rsid w:val="009B300F"/>
    <w:rsid w:val="009B3518"/>
    <w:rsid w:val="009B5647"/>
    <w:rsid w:val="009B72AB"/>
    <w:rsid w:val="009C1EC2"/>
    <w:rsid w:val="009C2DA8"/>
    <w:rsid w:val="009C3B41"/>
    <w:rsid w:val="009C41A4"/>
    <w:rsid w:val="009C5A83"/>
    <w:rsid w:val="009C7AB7"/>
    <w:rsid w:val="009C7CCA"/>
    <w:rsid w:val="009D01AD"/>
    <w:rsid w:val="009D19E6"/>
    <w:rsid w:val="009D1AF8"/>
    <w:rsid w:val="009D292B"/>
    <w:rsid w:val="009E1B78"/>
    <w:rsid w:val="009E1F00"/>
    <w:rsid w:val="009E250E"/>
    <w:rsid w:val="009E2979"/>
    <w:rsid w:val="009E5C20"/>
    <w:rsid w:val="009F138C"/>
    <w:rsid w:val="009F1C2B"/>
    <w:rsid w:val="009F1E01"/>
    <w:rsid w:val="009F2777"/>
    <w:rsid w:val="009F7FCC"/>
    <w:rsid w:val="00A00446"/>
    <w:rsid w:val="00A010B2"/>
    <w:rsid w:val="00A02945"/>
    <w:rsid w:val="00A02998"/>
    <w:rsid w:val="00A0384C"/>
    <w:rsid w:val="00A057F1"/>
    <w:rsid w:val="00A05CF6"/>
    <w:rsid w:val="00A06413"/>
    <w:rsid w:val="00A06FBD"/>
    <w:rsid w:val="00A10916"/>
    <w:rsid w:val="00A12EAE"/>
    <w:rsid w:val="00A13412"/>
    <w:rsid w:val="00A14EA2"/>
    <w:rsid w:val="00A15712"/>
    <w:rsid w:val="00A15975"/>
    <w:rsid w:val="00A16728"/>
    <w:rsid w:val="00A167C9"/>
    <w:rsid w:val="00A225CD"/>
    <w:rsid w:val="00A228F4"/>
    <w:rsid w:val="00A2320E"/>
    <w:rsid w:val="00A2401E"/>
    <w:rsid w:val="00A315FD"/>
    <w:rsid w:val="00A33D5D"/>
    <w:rsid w:val="00A33EBB"/>
    <w:rsid w:val="00A36135"/>
    <w:rsid w:val="00A373F3"/>
    <w:rsid w:val="00A404A1"/>
    <w:rsid w:val="00A42402"/>
    <w:rsid w:val="00A44A06"/>
    <w:rsid w:val="00A46055"/>
    <w:rsid w:val="00A5219A"/>
    <w:rsid w:val="00A56F92"/>
    <w:rsid w:val="00A57716"/>
    <w:rsid w:val="00A60407"/>
    <w:rsid w:val="00A614F0"/>
    <w:rsid w:val="00A676BC"/>
    <w:rsid w:val="00A67D5B"/>
    <w:rsid w:val="00A70104"/>
    <w:rsid w:val="00A70387"/>
    <w:rsid w:val="00A757AF"/>
    <w:rsid w:val="00A772E4"/>
    <w:rsid w:val="00A83A24"/>
    <w:rsid w:val="00A86644"/>
    <w:rsid w:val="00A8741C"/>
    <w:rsid w:val="00A91B7E"/>
    <w:rsid w:val="00A9657D"/>
    <w:rsid w:val="00AA416C"/>
    <w:rsid w:val="00AA7546"/>
    <w:rsid w:val="00AA7F70"/>
    <w:rsid w:val="00AB008D"/>
    <w:rsid w:val="00AB1227"/>
    <w:rsid w:val="00AB143D"/>
    <w:rsid w:val="00AB462B"/>
    <w:rsid w:val="00AC212D"/>
    <w:rsid w:val="00AC2262"/>
    <w:rsid w:val="00AC3070"/>
    <w:rsid w:val="00AD0B0A"/>
    <w:rsid w:val="00AD199B"/>
    <w:rsid w:val="00AD2A77"/>
    <w:rsid w:val="00AD2DAF"/>
    <w:rsid w:val="00AD3469"/>
    <w:rsid w:val="00AD68CD"/>
    <w:rsid w:val="00AD78F6"/>
    <w:rsid w:val="00AE2762"/>
    <w:rsid w:val="00AE2B03"/>
    <w:rsid w:val="00AE4984"/>
    <w:rsid w:val="00AE6B19"/>
    <w:rsid w:val="00AF3703"/>
    <w:rsid w:val="00AF3AA7"/>
    <w:rsid w:val="00AF6F6A"/>
    <w:rsid w:val="00B029BF"/>
    <w:rsid w:val="00B02AAE"/>
    <w:rsid w:val="00B034F6"/>
    <w:rsid w:val="00B04BAC"/>
    <w:rsid w:val="00B04F2E"/>
    <w:rsid w:val="00B04FBF"/>
    <w:rsid w:val="00B05677"/>
    <w:rsid w:val="00B05F21"/>
    <w:rsid w:val="00B11362"/>
    <w:rsid w:val="00B1278D"/>
    <w:rsid w:val="00B12A7C"/>
    <w:rsid w:val="00B12E83"/>
    <w:rsid w:val="00B13032"/>
    <w:rsid w:val="00B13810"/>
    <w:rsid w:val="00B14DF9"/>
    <w:rsid w:val="00B1679F"/>
    <w:rsid w:val="00B20104"/>
    <w:rsid w:val="00B2162F"/>
    <w:rsid w:val="00B22016"/>
    <w:rsid w:val="00B223EB"/>
    <w:rsid w:val="00B22550"/>
    <w:rsid w:val="00B22DD2"/>
    <w:rsid w:val="00B24087"/>
    <w:rsid w:val="00B33496"/>
    <w:rsid w:val="00B337F8"/>
    <w:rsid w:val="00B350E4"/>
    <w:rsid w:val="00B355F7"/>
    <w:rsid w:val="00B35B37"/>
    <w:rsid w:val="00B37FEB"/>
    <w:rsid w:val="00B40FF9"/>
    <w:rsid w:val="00B42E5D"/>
    <w:rsid w:val="00B451BB"/>
    <w:rsid w:val="00B461B0"/>
    <w:rsid w:val="00B47B38"/>
    <w:rsid w:val="00B50E6C"/>
    <w:rsid w:val="00B5193C"/>
    <w:rsid w:val="00B52E93"/>
    <w:rsid w:val="00B56367"/>
    <w:rsid w:val="00B56E6B"/>
    <w:rsid w:val="00B61935"/>
    <w:rsid w:val="00B61C12"/>
    <w:rsid w:val="00B6310B"/>
    <w:rsid w:val="00B6321F"/>
    <w:rsid w:val="00B66783"/>
    <w:rsid w:val="00B70875"/>
    <w:rsid w:val="00B754BA"/>
    <w:rsid w:val="00B7624B"/>
    <w:rsid w:val="00B76938"/>
    <w:rsid w:val="00B80EFF"/>
    <w:rsid w:val="00B83964"/>
    <w:rsid w:val="00B92307"/>
    <w:rsid w:val="00B93FD0"/>
    <w:rsid w:val="00B97C98"/>
    <w:rsid w:val="00BA08F5"/>
    <w:rsid w:val="00BA21C9"/>
    <w:rsid w:val="00BA2562"/>
    <w:rsid w:val="00BA4955"/>
    <w:rsid w:val="00BA4A2A"/>
    <w:rsid w:val="00BA4F64"/>
    <w:rsid w:val="00BB2D37"/>
    <w:rsid w:val="00BC0477"/>
    <w:rsid w:val="00BC2C81"/>
    <w:rsid w:val="00BC61EE"/>
    <w:rsid w:val="00BC6AC9"/>
    <w:rsid w:val="00BD0864"/>
    <w:rsid w:val="00BD1A56"/>
    <w:rsid w:val="00BD517E"/>
    <w:rsid w:val="00BD5751"/>
    <w:rsid w:val="00BE1A68"/>
    <w:rsid w:val="00BE32DC"/>
    <w:rsid w:val="00BF167D"/>
    <w:rsid w:val="00BF2B01"/>
    <w:rsid w:val="00BF6A79"/>
    <w:rsid w:val="00C00077"/>
    <w:rsid w:val="00C02075"/>
    <w:rsid w:val="00C11447"/>
    <w:rsid w:val="00C1271B"/>
    <w:rsid w:val="00C13A9E"/>
    <w:rsid w:val="00C14ECB"/>
    <w:rsid w:val="00C16BFB"/>
    <w:rsid w:val="00C16E5D"/>
    <w:rsid w:val="00C206AF"/>
    <w:rsid w:val="00C210D2"/>
    <w:rsid w:val="00C2474A"/>
    <w:rsid w:val="00C24B38"/>
    <w:rsid w:val="00C24D9A"/>
    <w:rsid w:val="00C2535B"/>
    <w:rsid w:val="00C30E67"/>
    <w:rsid w:val="00C32097"/>
    <w:rsid w:val="00C34EF7"/>
    <w:rsid w:val="00C34F57"/>
    <w:rsid w:val="00C35D43"/>
    <w:rsid w:val="00C40D38"/>
    <w:rsid w:val="00C41D9F"/>
    <w:rsid w:val="00C441EE"/>
    <w:rsid w:val="00C44B43"/>
    <w:rsid w:val="00C45CF7"/>
    <w:rsid w:val="00C463B6"/>
    <w:rsid w:val="00C55116"/>
    <w:rsid w:val="00C55D88"/>
    <w:rsid w:val="00C5697F"/>
    <w:rsid w:val="00C62A44"/>
    <w:rsid w:val="00C632A0"/>
    <w:rsid w:val="00C63BF4"/>
    <w:rsid w:val="00C66832"/>
    <w:rsid w:val="00C744D8"/>
    <w:rsid w:val="00C747EA"/>
    <w:rsid w:val="00C7792A"/>
    <w:rsid w:val="00C813AA"/>
    <w:rsid w:val="00C82389"/>
    <w:rsid w:val="00C83BEF"/>
    <w:rsid w:val="00C86A41"/>
    <w:rsid w:val="00C8725F"/>
    <w:rsid w:val="00C90030"/>
    <w:rsid w:val="00C902F8"/>
    <w:rsid w:val="00C90624"/>
    <w:rsid w:val="00C9108D"/>
    <w:rsid w:val="00C94DB3"/>
    <w:rsid w:val="00C97C9B"/>
    <w:rsid w:val="00CA0154"/>
    <w:rsid w:val="00CA2837"/>
    <w:rsid w:val="00CA6611"/>
    <w:rsid w:val="00CB03A7"/>
    <w:rsid w:val="00CB1E69"/>
    <w:rsid w:val="00CB1EE6"/>
    <w:rsid w:val="00CB51B5"/>
    <w:rsid w:val="00CB5A0C"/>
    <w:rsid w:val="00CB601E"/>
    <w:rsid w:val="00CB7154"/>
    <w:rsid w:val="00CB7F0E"/>
    <w:rsid w:val="00CC0D3D"/>
    <w:rsid w:val="00CC29D1"/>
    <w:rsid w:val="00CC43FC"/>
    <w:rsid w:val="00CC5C94"/>
    <w:rsid w:val="00CC5F24"/>
    <w:rsid w:val="00CC627C"/>
    <w:rsid w:val="00CD04D9"/>
    <w:rsid w:val="00CD2064"/>
    <w:rsid w:val="00CD2C21"/>
    <w:rsid w:val="00CD55B4"/>
    <w:rsid w:val="00CE38E8"/>
    <w:rsid w:val="00CE458E"/>
    <w:rsid w:val="00CE560A"/>
    <w:rsid w:val="00CE5D60"/>
    <w:rsid w:val="00CE5DBD"/>
    <w:rsid w:val="00CE5EB6"/>
    <w:rsid w:val="00CF0B09"/>
    <w:rsid w:val="00CF2938"/>
    <w:rsid w:val="00CF3E5C"/>
    <w:rsid w:val="00CF41CB"/>
    <w:rsid w:val="00CF70E3"/>
    <w:rsid w:val="00D01CF3"/>
    <w:rsid w:val="00D01EA2"/>
    <w:rsid w:val="00D0298F"/>
    <w:rsid w:val="00D02F7E"/>
    <w:rsid w:val="00D044F4"/>
    <w:rsid w:val="00D05DE7"/>
    <w:rsid w:val="00D10B0F"/>
    <w:rsid w:val="00D11024"/>
    <w:rsid w:val="00D14356"/>
    <w:rsid w:val="00D144B5"/>
    <w:rsid w:val="00D14A72"/>
    <w:rsid w:val="00D16107"/>
    <w:rsid w:val="00D16882"/>
    <w:rsid w:val="00D20A5D"/>
    <w:rsid w:val="00D228B5"/>
    <w:rsid w:val="00D231EA"/>
    <w:rsid w:val="00D24E70"/>
    <w:rsid w:val="00D26AF2"/>
    <w:rsid w:val="00D3006D"/>
    <w:rsid w:val="00D3205E"/>
    <w:rsid w:val="00D32990"/>
    <w:rsid w:val="00D3351B"/>
    <w:rsid w:val="00D33A28"/>
    <w:rsid w:val="00D36862"/>
    <w:rsid w:val="00D41929"/>
    <w:rsid w:val="00D41FB7"/>
    <w:rsid w:val="00D424F7"/>
    <w:rsid w:val="00D440A2"/>
    <w:rsid w:val="00D45320"/>
    <w:rsid w:val="00D46678"/>
    <w:rsid w:val="00D5047A"/>
    <w:rsid w:val="00D53A91"/>
    <w:rsid w:val="00D6227B"/>
    <w:rsid w:val="00D63FF9"/>
    <w:rsid w:val="00D65A13"/>
    <w:rsid w:val="00D7134A"/>
    <w:rsid w:val="00D71945"/>
    <w:rsid w:val="00D74A55"/>
    <w:rsid w:val="00D75F84"/>
    <w:rsid w:val="00D80384"/>
    <w:rsid w:val="00D804C2"/>
    <w:rsid w:val="00D81033"/>
    <w:rsid w:val="00D82026"/>
    <w:rsid w:val="00D8696B"/>
    <w:rsid w:val="00D86C90"/>
    <w:rsid w:val="00D95828"/>
    <w:rsid w:val="00D96E3A"/>
    <w:rsid w:val="00D97E39"/>
    <w:rsid w:val="00DA0EDB"/>
    <w:rsid w:val="00DA4B6F"/>
    <w:rsid w:val="00DA5F10"/>
    <w:rsid w:val="00DA6EC0"/>
    <w:rsid w:val="00DA760C"/>
    <w:rsid w:val="00DB15D8"/>
    <w:rsid w:val="00DB42F1"/>
    <w:rsid w:val="00DB4A43"/>
    <w:rsid w:val="00DB5DCA"/>
    <w:rsid w:val="00DC009C"/>
    <w:rsid w:val="00DC36DA"/>
    <w:rsid w:val="00DC3D96"/>
    <w:rsid w:val="00DC44D4"/>
    <w:rsid w:val="00DD06A1"/>
    <w:rsid w:val="00DD2019"/>
    <w:rsid w:val="00DD354B"/>
    <w:rsid w:val="00DD43EB"/>
    <w:rsid w:val="00DD5331"/>
    <w:rsid w:val="00DE06CA"/>
    <w:rsid w:val="00DE13D9"/>
    <w:rsid w:val="00DE388B"/>
    <w:rsid w:val="00DE4442"/>
    <w:rsid w:val="00DE4ED9"/>
    <w:rsid w:val="00DF234E"/>
    <w:rsid w:val="00DF2CC5"/>
    <w:rsid w:val="00DF357F"/>
    <w:rsid w:val="00DF5CE4"/>
    <w:rsid w:val="00DF6B9C"/>
    <w:rsid w:val="00E03530"/>
    <w:rsid w:val="00E05D55"/>
    <w:rsid w:val="00E11300"/>
    <w:rsid w:val="00E13506"/>
    <w:rsid w:val="00E14C42"/>
    <w:rsid w:val="00E14F58"/>
    <w:rsid w:val="00E14FEE"/>
    <w:rsid w:val="00E16372"/>
    <w:rsid w:val="00E16796"/>
    <w:rsid w:val="00E16A26"/>
    <w:rsid w:val="00E24DA5"/>
    <w:rsid w:val="00E25F60"/>
    <w:rsid w:val="00E27A1C"/>
    <w:rsid w:val="00E34C26"/>
    <w:rsid w:val="00E36936"/>
    <w:rsid w:val="00E371C4"/>
    <w:rsid w:val="00E4177B"/>
    <w:rsid w:val="00E436DC"/>
    <w:rsid w:val="00E44BE4"/>
    <w:rsid w:val="00E52107"/>
    <w:rsid w:val="00E524FA"/>
    <w:rsid w:val="00E53B9B"/>
    <w:rsid w:val="00E5788B"/>
    <w:rsid w:val="00E578D3"/>
    <w:rsid w:val="00E65B67"/>
    <w:rsid w:val="00E667C0"/>
    <w:rsid w:val="00E668FE"/>
    <w:rsid w:val="00E67214"/>
    <w:rsid w:val="00E73162"/>
    <w:rsid w:val="00E74ED3"/>
    <w:rsid w:val="00E75244"/>
    <w:rsid w:val="00E76759"/>
    <w:rsid w:val="00E76BD0"/>
    <w:rsid w:val="00E8156C"/>
    <w:rsid w:val="00E84075"/>
    <w:rsid w:val="00E8518F"/>
    <w:rsid w:val="00E90476"/>
    <w:rsid w:val="00E90486"/>
    <w:rsid w:val="00E90C94"/>
    <w:rsid w:val="00E92502"/>
    <w:rsid w:val="00E9314C"/>
    <w:rsid w:val="00E935A2"/>
    <w:rsid w:val="00E93C12"/>
    <w:rsid w:val="00E94E9C"/>
    <w:rsid w:val="00E952B1"/>
    <w:rsid w:val="00E96835"/>
    <w:rsid w:val="00E975AA"/>
    <w:rsid w:val="00E979AC"/>
    <w:rsid w:val="00EA0915"/>
    <w:rsid w:val="00EA09F8"/>
    <w:rsid w:val="00EA258A"/>
    <w:rsid w:val="00EA2C47"/>
    <w:rsid w:val="00EA3AD0"/>
    <w:rsid w:val="00EA3B0F"/>
    <w:rsid w:val="00EB073E"/>
    <w:rsid w:val="00EB27ED"/>
    <w:rsid w:val="00EB2A47"/>
    <w:rsid w:val="00EC2AC1"/>
    <w:rsid w:val="00EC4176"/>
    <w:rsid w:val="00EC494F"/>
    <w:rsid w:val="00ED15AE"/>
    <w:rsid w:val="00ED37C8"/>
    <w:rsid w:val="00ED527F"/>
    <w:rsid w:val="00ED7729"/>
    <w:rsid w:val="00EE00DE"/>
    <w:rsid w:val="00EE1EBB"/>
    <w:rsid w:val="00EE2673"/>
    <w:rsid w:val="00EE4E10"/>
    <w:rsid w:val="00EE582D"/>
    <w:rsid w:val="00EE6E88"/>
    <w:rsid w:val="00EE7634"/>
    <w:rsid w:val="00EF2072"/>
    <w:rsid w:val="00EF28CF"/>
    <w:rsid w:val="00EF299E"/>
    <w:rsid w:val="00EF2F6B"/>
    <w:rsid w:val="00EF7246"/>
    <w:rsid w:val="00EF7C54"/>
    <w:rsid w:val="00F01900"/>
    <w:rsid w:val="00F01C11"/>
    <w:rsid w:val="00F025D5"/>
    <w:rsid w:val="00F03D2A"/>
    <w:rsid w:val="00F03D6C"/>
    <w:rsid w:val="00F041B1"/>
    <w:rsid w:val="00F06530"/>
    <w:rsid w:val="00F06E83"/>
    <w:rsid w:val="00F1261A"/>
    <w:rsid w:val="00F1357B"/>
    <w:rsid w:val="00F1392D"/>
    <w:rsid w:val="00F15579"/>
    <w:rsid w:val="00F227B8"/>
    <w:rsid w:val="00F22C7F"/>
    <w:rsid w:val="00F2301B"/>
    <w:rsid w:val="00F23C1E"/>
    <w:rsid w:val="00F267D6"/>
    <w:rsid w:val="00F32B53"/>
    <w:rsid w:val="00F334B4"/>
    <w:rsid w:val="00F33515"/>
    <w:rsid w:val="00F34D33"/>
    <w:rsid w:val="00F35B56"/>
    <w:rsid w:val="00F370CD"/>
    <w:rsid w:val="00F3727C"/>
    <w:rsid w:val="00F44133"/>
    <w:rsid w:val="00F44C21"/>
    <w:rsid w:val="00F44E22"/>
    <w:rsid w:val="00F450E1"/>
    <w:rsid w:val="00F45B16"/>
    <w:rsid w:val="00F46C04"/>
    <w:rsid w:val="00F50393"/>
    <w:rsid w:val="00F5403F"/>
    <w:rsid w:val="00F54ECF"/>
    <w:rsid w:val="00F5787B"/>
    <w:rsid w:val="00F60568"/>
    <w:rsid w:val="00F61633"/>
    <w:rsid w:val="00F61642"/>
    <w:rsid w:val="00F63B36"/>
    <w:rsid w:val="00F775E6"/>
    <w:rsid w:val="00F9024A"/>
    <w:rsid w:val="00F91E27"/>
    <w:rsid w:val="00F93EFA"/>
    <w:rsid w:val="00F9526C"/>
    <w:rsid w:val="00FA0424"/>
    <w:rsid w:val="00FA0DF0"/>
    <w:rsid w:val="00FA1AC6"/>
    <w:rsid w:val="00FA1FE4"/>
    <w:rsid w:val="00FA2826"/>
    <w:rsid w:val="00FA28CF"/>
    <w:rsid w:val="00FA4FD2"/>
    <w:rsid w:val="00FA71FF"/>
    <w:rsid w:val="00FA7967"/>
    <w:rsid w:val="00FB1CF6"/>
    <w:rsid w:val="00FB22DA"/>
    <w:rsid w:val="00FB3291"/>
    <w:rsid w:val="00FB475D"/>
    <w:rsid w:val="00FB4E22"/>
    <w:rsid w:val="00FB69A0"/>
    <w:rsid w:val="00FB7969"/>
    <w:rsid w:val="00FC22D8"/>
    <w:rsid w:val="00FC36B3"/>
    <w:rsid w:val="00FC4582"/>
    <w:rsid w:val="00FC5064"/>
    <w:rsid w:val="00FC59ED"/>
    <w:rsid w:val="00FC5F9E"/>
    <w:rsid w:val="00FC6C6E"/>
    <w:rsid w:val="00FD0852"/>
    <w:rsid w:val="00FD50C6"/>
    <w:rsid w:val="00FD5F3B"/>
    <w:rsid w:val="00FD7BDF"/>
    <w:rsid w:val="00FE3A00"/>
    <w:rsid w:val="00FE3C59"/>
    <w:rsid w:val="00FE4360"/>
    <w:rsid w:val="00FF285A"/>
    <w:rsid w:val="00FF2E5F"/>
    <w:rsid w:val="00FF34C4"/>
    <w:rsid w:val="00FF590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6A3C4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qFormat="1"/>
    <w:lsdException w:name="annotation text" w:semiHidden="1"/>
    <w:lsdException w:name="header" w:semiHidden="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0" w:qFormat="1"/>
    <w:lsdException w:name="List Number" w:semiHidden="1" w:uiPriority="0"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2"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5B4"/>
    <w:pPr>
      <w:spacing w:after="200" w:line="260" w:lineRule="exact"/>
    </w:pPr>
    <w:rPr>
      <w:rFonts w:ascii="Arial" w:hAnsi="Arial"/>
      <w:sz w:val="22"/>
      <w:szCs w:val="24"/>
      <w:lang w:eastAsia="en-US"/>
    </w:rPr>
  </w:style>
  <w:style w:type="paragraph" w:styleId="Heading1">
    <w:name w:val="heading 1"/>
    <w:basedOn w:val="Heading3"/>
    <w:next w:val="BodyText1"/>
    <w:qFormat/>
    <w:rsid w:val="00010B24"/>
    <w:pPr>
      <w:outlineLvl w:val="0"/>
    </w:pPr>
  </w:style>
  <w:style w:type="paragraph" w:styleId="Heading2">
    <w:name w:val="heading 2"/>
    <w:next w:val="BodyText1"/>
    <w:link w:val="Heading2Char"/>
    <w:qFormat/>
    <w:rsid w:val="008F1C8A"/>
    <w:pPr>
      <w:spacing w:after="120" w:line="260" w:lineRule="exact"/>
      <w:ind w:left="284" w:hanging="284"/>
      <w:outlineLvl w:val="1"/>
    </w:pPr>
    <w:rPr>
      <w:rFonts w:ascii="Arial" w:hAnsi="Arial"/>
      <w:b/>
      <w:spacing w:val="-6"/>
      <w:sz w:val="26"/>
      <w:szCs w:val="26"/>
      <w:lang w:eastAsia="en-US"/>
    </w:rPr>
  </w:style>
  <w:style w:type="paragraph" w:styleId="Heading3">
    <w:name w:val="heading 3"/>
    <w:next w:val="BodyText1"/>
    <w:link w:val="Heading3Char"/>
    <w:qFormat/>
    <w:rsid w:val="00F93EFA"/>
    <w:pPr>
      <w:spacing w:before="200" w:line="260" w:lineRule="exact"/>
      <w:outlineLvl w:val="2"/>
    </w:pPr>
    <w:rPr>
      <w:rFonts w:ascii="Arial" w:hAnsi="Arial"/>
      <w:b/>
      <w:bCs/>
      <w:color w:val="F79646"/>
      <w:spacing w:val="-6"/>
      <w:sz w:val="22"/>
      <w:szCs w:val="22"/>
      <w:lang w:eastAsia="en-US"/>
    </w:rPr>
  </w:style>
  <w:style w:type="paragraph" w:styleId="Heading4">
    <w:name w:val="heading 4"/>
    <w:basedOn w:val="Normal"/>
    <w:next w:val="Heading3"/>
    <w:link w:val="Heading4Char"/>
    <w:uiPriority w:val="9"/>
    <w:qFormat/>
    <w:rsid w:val="00AE6B19"/>
    <w:pPr>
      <w:keepNext/>
      <w:keepLines/>
      <w:spacing w:before="200"/>
      <w:outlineLvl w:val="3"/>
    </w:pPr>
    <w:rPr>
      <w:b/>
      <w:bCs/>
      <w:i/>
      <w:iCs/>
      <w:color w:val="C9690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box">
    <w:name w:val="After box"/>
    <w:next w:val="BodyText1"/>
    <w:rsid w:val="00AE6B19"/>
    <w:pPr>
      <w:spacing w:after="57" w:line="113" w:lineRule="exact"/>
    </w:pPr>
    <w:rPr>
      <w:rFonts w:ascii="Cambria" w:hAnsi="Cambria"/>
      <w:sz w:val="2"/>
      <w:szCs w:val="24"/>
      <w:lang w:eastAsia="en-US"/>
    </w:rPr>
  </w:style>
  <w:style w:type="paragraph" w:customStyle="1" w:styleId="Bodytextbeforebullets">
    <w:name w:val="Body text (before bullets)"/>
    <w:basedOn w:val="BodyText1"/>
    <w:rsid w:val="00AE6B19"/>
    <w:pPr>
      <w:spacing w:after="57"/>
    </w:pPr>
  </w:style>
  <w:style w:type="paragraph" w:customStyle="1" w:styleId="BodyText1">
    <w:name w:val="Body Text1"/>
    <w:basedOn w:val="Normal"/>
    <w:qFormat/>
    <w:rsid w:val="00F93EFA"/>
  </w:style>
  <w:style w:type="paragraph" w:customStyle="1" w:styleId="Bullets1stindent">
    <w:name w:val="Bullets (1st indent)"/>
    <w:basedOn w:val="BodyText1"/>
    <w:qFormat/>
    <w:rsid w:val="003800CE"/>
    <w:pPr>
      <w:spacing w:after="120"/>
    </w:pPr>
  </w:style>
  <w:style w:type="paragraph" w:customStyle="1" w:styleId="Bullets2ndindent">
    <w:name w:val="Bullets (2nd indent)"/>
    <w:basedOn w:val="BodyText1"/>
    <w:qFormat/>
    <w:rsid w:val="008F1C8A"/>
    <w:pPr>
      <w:spacing w:after="120"/>
      <w:ind w:left="644" w:hanging="360"/>
    </w:pPr>
  </w:style>
  <w:style w:type="numbering" w:customStyle="1" w:styleId="Bullets">
    <w:name w:val="Bullets"/>
    <w:basedOn w:val="NoList"/>
    <w:uiPriority w:val="99"/>
    <w:rsid w:val="00AE6B19"/>
    <w:pPr>
      <w:numPr>
        <w:numId w:val="6"/>
      </w:numPr>
    </w:pPr>
  </w:style>
  <w:style w:type="paragraph" w:customStyle="1" w:styleId="Figuretitle">
    <w:name w:val="Figure title"/>
    <w:basedOn w:val="Heading2"/>
    <w:next w:val="BodyText1"/>
    <w:rsid w:val="00AE6B19"/>
    <w:pPr>
      <w:numPr>
        <w:ilvl w:val="6"/>
        <w:numId w:val="4"/>
      </w:numPr>
    </w:pPr>
    <w:rPr>
      <w:szCs w:val="24"/>
    </w:rPr>
  </w:style>
  <w:style w:type="paragraph" w:customStyle="1" w:styleId="Footertext">
    <w:name w:val="Footer text"/>
    <w:semiHidden/>
    <w:rsid w:val="00AE6B19"/>
    <w:pPr>
      <w:framePr w:hSpace="181" w:wrap="around" w:vAnchor="text" w:hAnchor="page" w:x="11228" w:y="1"/>
      <w:spacing w:line="200" w:lineRule="atLeast"/>
      <w:ind w:right="113"/>
      <w:suppressOverlap/>
    </w:pPr>
    <w:rPr>
      <w:rFonts w:ascii="Arial" w:hAnsi="Arial" w:cs="Arial"/>
      <w:sz w:val="16"/>
      <w:szCs w:val="24"/>
      <w:lang w:eastAsia="en-US"/>
    </w:rPr>
  </w:style>
  <w:style w:type="paragraph" w:customStyle="1" w:styleId="Footnote">
    <w:name w:val="Footnote"/>
    <w:rsid w:val="00AE6B19"/>
    <w:pPr>
      <w:spacing w:before="85" w:after="85" w:line="160" w:lineRule="atLeast"/>
    </w:pPr>
    <w:rPr>
      <w:rFonts w:ascii="Arial" w:hAnsi="Arial" w:cs="Arial"/>
      <w:i/>
      <w:sz w:val="12"/>
      <w:szCs w:val="12"/>
      <w:lang w:eastAsia="en-US"/>
    </w:rPr>
  </w:style>
  <w:style w:type="paragraph" w:customStyle="1" w:styleId="Bulletslast1stindent">
    <w:name w:val="Bullets last (1st indent)"/>
    <w:basedOn w:val="BodyText1"/>
    <w:rsid w:val="00AE6B19"/>
    <w:pPr>
      <w:ind w:left="644" w:hanging="360"/>
    </w:pPr>
  </w:style>
  <w:style w:type="numbering" w:customStyle="1" w:styleId="Numbers">
    <w:name w:val="Numbers"/>
    <w:basedOn w:val="NoList"/>
    <w:rsid w:val="00AE6B19"/>
    <w:pPr>
      <w:numPr>
        <w:numId w:val="4"/>
      </w:numPr>
    </w:pPr>
  </w:style>
  <w:style w:type="paragraph" w:customStyle="1" w:styleId="Bulletslast2ndindent">
    <w:name w:val="Bullets last (2nd indent)"/>
    <w:basedOn w:val="BodyText1"/>
    <w:rsid w:val="00F93EFA"/>
    <w:pPr>
      <w:spacing w:after="57"/>
    </w:pPr>
  </w:style>
  <w:style w:type="paragraph" w:styleId="Subtitle">
    <w:name w:val="Subtitle"/>
    <w:basedOn w:val="Title"/>
    <w:uiPriority w:val="2"/>
    <w:qFormat/>
    <w:rsid w:val="00AE6B19"/>
    <w:pPr>
      <w:spacing w:line="300" w:lineRule="atLeast"/>
    </w:pPr>
    <w:rPr>
      <w:color w:val="FFFFFF"/>
      <w:sz w:val="24"/>
    </w:rPr>
  </w:style>
  <w:style w:type="paragraph" w:customStyle="1" w:styleId="Tablebodytext">
    <w:name w:val="Table body text"/>
    <w:link w:val="TablebodytextChar"/>
    <w:qFormat/>
    <w:rsid w:val="00AE6B19"/>
    <w:pPr>
      <w:spacing w:before="57" w:after="57" w:line="220" w:lineRule="atLeast"/>
      <w:ind w:left="96" w:right="96"/>
    </w:pPr>
    <w:rPr>
      <w:rFonts w:ascii="Arial" w:hAnsi="Arial"/>
      <w:sz w:val="17"/>
      <w:szCs w:val="24"/>
      <w:lang w:eastAsia="en-US"/>
    </w:rPr>
  </w:style>
  <w:style w:type="paragraph" w:customStyle="1" w:styleId="Tablebullets2ndindent">
    <w:name w:val="Table bullets (2nd indent)"/>
    <w:basedOn w:val="Tablebodytext"/>
    <w:qFormat/>
    <w:rsid w:val="00AE6B19"/>
    <w:pPr>
      <w:ind w:left="644" w:hanging="360"/>
    </w:pPr>
  </w:style>
  <w:style w:type="paragraph" w:customStyle="1" w:styleId="Tablebullets1stindent">
    <w:name w:val="Table bullets (1st indent)"/>
    <w:basedOn w:val="Tablebodytext"/>
    <w:qFormat/>
    <w:rsid w:val="00F93EFA"/>
    <w:pPr>
      <w:numPr>
        <w:numId w:val="21"/>
      </w:numPr>
    </w:pPr>
  </w:style>
  <w:style w:type="paragraph" w:customStyle="1" w:styleId="Tablecolumnheading">
    <w:name w:val="Table column heading"/>
    <w:basedOn w:val="Tablebodytext"/>
    <w:uiPriority w:val="99"/>
    <w:qFormat/>
    <w:rsid w:val="00AE6B19"/>
    <w:pPr>
      <w:keepNext/>
    </w:pPr>
    <w:rPr>
      <w:b/>
    </w:rPr>
  </w:style>
  <w:style w:type="paragraph" w:customStyle="1" w:styleId="Title2">
    <w:name w:val="Title 2"/>
    <w:basedOn w:val="Title"/>
    <w:uiPriority w:val="2"/>
    <w:semiHidden/>
    <w:rsid w:val="00AE6B19"/>
  </w:style>
  <w:style w:type="paragraph" w:customStyle="1" w:styleId="Tabletitle">
    <w:name w:val="Table title"/>
    <w:basedOn w:val="Heading2"/>
    <w:next w:val="BodyText1"/>
    <w:rsid w:val="00AE6B19"/>
    <w:pPr>
      <w:numPr>
        <w:ilvl w:val="8"/>
        <w:numId w:val="4"/>
      </w:numPr>
    </w:pPr>
    <w:rPr>
      <w:szCs w:val="24"/>
    </w:rPr>
  </w:style>
  <w:style w:type="paragraph" w:styleId="Title">
    <w:name w:val="Title"/>
    <w:basedOn w:val="Heading1"/>
    <w:uiPriority w:val="2"/>
    <w:qFormat/>
    <w:rsid w:val="00010B24"/>
  </w:style>
  <w:style w:type="paragraph" w:customStyle="1" w:styleId="Boxheading">
    <w:name w:val="Box heading"/>
    <w:next w:val="BodyText1"/>
    <w:uiPriority w:val="1"/>
    <w:rsid w:val="00AE6B19"/>
    <w:pPr>
      <w:spacing w:line="240" w:lineRule="atLeast"/>
    </w:pPr>
    <w:rPr>
      <w:rFonts w:ascii="Arial" w:hAnsi="Arial"/>
      <w:b/>
      <w:color w:val="4B5869"/>
      <w:sz w:val="22"/>
      <w:szCs w:val="24"/>
      <w:lang w:eastAsia="en-US"/>
    </w:rPr>
  </w:style>
  <w:style w:type="paragraph" w:styleId="Footer">
    <w:name w:val="footer"/>
    <w:basedOn w:val="Normal"/>
    <w:link w:val="FooterChar"/>
    <w:uiPriority w:val="99"/>
    <w:rsid w:val="00AE6B19"/>
    <w:pPr>
      <w:tabs>
        <w:tab w:val="center" w:pos="4320"/>
        <w:tab w:val="right" w:pos="8640"/>
      </w:tabs>
    </w:pPr>
  </w:style>
  <w:style w:type="table" w:styleId="TableGrid">
    <w:name w:val="Table Grid"/>
    <w:basedOn w:val="TableNormal"/>
    <w:rsid w:val="00AE6B19"/>
    <w:rPr>
      <w:rFonts w:ascii="Arial" w:hAnsi="Arial"/>
    </w:rPr>
    <w:tblPr>
      <w:tblCellMar>
        <w:left w:w="0" w:type="dxa"/>
        <w:right w:w="0" w:type="dxa"/>
      </w:tblCellMar>
    </w:tblPr>
  </w:style>
  <w:style w:type="paragraph" w:styleId="BalloonText">
    <w:name w:val="Balloon Text"/>
    <w:basedOn w:val="Normal"/>
    <w:link w:val="BalloonTextChar"/>
    <w:uiPriority w:val="99"/>
    <w:semiHidden/>
    <w:rsid w:val="00AE6B19"/>
    <w:rPr>
      <w:rFonts w:ascii="Tahoma" w:hAnsi="Tahoma" w:cs="Tahoma"/>
      <w:sz w:val="16"/>
      <w:szCs w:val="16"/>
    </w:rPr>
  </w:style>
  <w:style w:type="character" w:customStyle="1" w:styleId="BalloonTextChar">
    <w:name w:val="Balloon Text Char"/>
    <w:link w:val="BalloonText"/>
    <w:uiPriority w:val="99"/>
    <w:semiHidden/>
    <w:rsid w:val="00AE6B19"/>
    <w:rPr>
      <w:rFonts w:ascii="Tahoma" w:hAnsi="Tahoma" w:cs="Tahoma"/>
      <w:sz w:val="16"/>
      <w:szCs w:val="16"/>
      <w:lang w:eastAsia="en-US"/>
    </w:rPr>
  </w:style>
  <w:style w:type="paragraph" w:styleId="Header">
    <w:name w:val="header"/>
    <w:basedOn w:val="Normal"/>
    <w:link w:val="HeaderChar"/>
    <w:uiPriority w:val="99"/>
    <w:semiHidden/>
    <w:rsid w:val="00AE6B19"/>
    <w:pPr>
      <w:tabs>
        <w:tab w:val="center" w:pos="4680"/>
        <w:tab w:val="right" w:pos="9360"/>
      </w:tabs>
    </w:pPr>
  </w:style>
  <w:style w:type="character" w:customStyle="1" w:styleId="HeaderChar">
    <w:name w:val="Header Char"/>
    <w:link w:val="Header"/>
    <w:uiPriority w:val="99"/>
    <w:semiHidden/>
    <w:rsid w:val="00AE6B19"/>
    <w:rPr>
      <w:rFonts w:ascii="Cambria" w:hAnsi="Cambria"/>
      <w:szCs w:val="24"/>
      <w:lang w:eastAsia="en-US"/>
    </w:rPr>
  </w:style>
  <w:style w:type="paragraph" w:customStyle="1" w:styleId="Subtitle2">
    <w:name w:val="Subtitle 2"/>
    <w:uiPriority w:val="2"/>
    <w:rsid w:val="00AE6B19"/>
    <w:pPr>
      <w:spacing w:before="200"/>
      <w:contextualSpacing/>
    </w:pPr>
    <w:rPr>
      <w:rFonts w:ascii="Arial" w:hAnsi="Arial"/>
      <w:caps/>
      <w:color w:val="1C2735"/>
      <w:kern w:val="28"/>
      <w:sz w:val="22"/>
      <w:szCs w:val="32"/>
      <w:lang w:eastAsia="en-US"/>
    </w:rPr>
  </w:style>
  <w:style w:type="character" w:customStyle="1" w:styleId="Blue">
    <w:name w:val="Blue"/>
    <w:semiHidden/>
    <w:qFormat/>
    <w:rsid w:val="00AE6B19"/>
    <w:rPr>
      <w:color w:val="45C7ED"/>
    </w:rPr>
  </w:style>
  <w:style w:type="paragraph" w:customStyle="1" w:styleId="Subheading">
    <w:name w:val="Subheading"/>
    <w:next w:val="BodyText1"/>
    <w:qFormat/>
    <w:rsid w:val="0054233A"/>
    <w:pPr>
      <w:spacing w:before="284" w:line="300" w:lineRule="exact"/>
      <w:ind w:left="284" w:hanging="284"/>
    </w:pPr>
    <w:rPr>
      <w:rFonts w:ascii="Arial" w:hAnsi="Arial"/>
      <w:color w:val="FFFFFF"/>
      <w:spacing w:val="-6"/>
      <w:sz w:val="24"/>
      <w:szCs w:val="28"/>
      <w:lang w:val="en-US" w:eastAsia="en-US"/>
    </w:rPr>
  </w:style>
  <w:style w:type="paragraph" w:customStyle="1" w:styleId="Boxtext">
    <w:name w:val="Box text"/>
    <w:basedOn w:val="Tablebodytext"/>
    <w:uiPriority w:val="1"/>
    <w:rsid w:val="00AE6B19"/>
    <w:pPr>
      <w:ind w:left="0" w:right="0"/>
    </w:pPr>
    <w:rPr>
      <w:color w:val="4B5869"/>
    </w:rPr>
  </w:style>
  <w:style w:type="paragraph" w:customStyle="1" w:styleId="ColorfulGrid-Accent11">
    <w:name w:val="Colorful Grid - Accent 11"/>
    <w:aliases w:val="Quote/emphasis"/>
    <w:link w:val="ColorfulGrid-Accent1Char"/>
    <w:rsid w:val="001A0954"/>
    <w:pPr>
      <w:spacing w:before="170" w:after="170" w:line="260" w:lineRule="atLeast"/>
    </w:pPr>
    <w:rPr>
      <w:rFonts w:ascii="Cambria" w:hAnsi="Cambria"/>
      <w:i/>
      <w:iCs/>
      <w:color w:val="000000"/>
      <w:spacing w:val="-2"/>
      <w:sz w:val="22"/>
      <w:szCs w:val="22"/>
      <w:lang w:eastAsia="en-US"/>
    </w:rPr>
  </w:style>
  <w:style w:type="character" w:customStyle="1" w:styleId="ColorfulGrid-Accent1Char">
    <w:name w:val="Colorful Grid - Accent 1 Char"/>
    <w:aliases w:val="Quote/emphasis Char"/>
    <w:link w:val="ColorfulGrid-Accent11"/>
    <w:rsid w:val="001A0954"/>
    <w:rPr>
      <w:rFonts w:ascii="Cambria" w:hAnsi="Cambria"/>
      <w:i/>
      <w:iCs/>
      <w:color w:val="000000"/>
      <w:spacing w:val="-2"/>
      <w:sz w:val="22"/>
      <w:szCs w:val="22"/>
      <w:lang w:val="en-AU" w:eastAsia="en-US" w:bidi="ar-SA"/>
    </w:rPr>
  </w:style>
  <w:style w:type="table" w:customStyle="1" w:styleId="DOFDtexttable">
    <w:name w:val="DOFD_text table"/>
    <w:basedOn w:val="TableNormal"/>
    <w:uiPriority w:val="99"/>
    <w:qFormat/>
    <w:rsid w:val="00AE6B19"/>
    <w:pPr>
      <w:spacing w:before="57"/>
    </w:pPr>
    <w:rPr>
      <w:rFonts w:ascii="Cambria" w:hAnsi="Cambria"/>
    </w:rPr>
    <w:tblPr>
      <w:tblBorders>
        <w:top w:val="single" w:sz="2" w:space="0" w:color="A5ABB6"/>
        <w:left w:val="single" w:sz="2" w:space="0" w:color="A5ABB6"/>
        <w:bottom w:val="single" w:sz="2" w:space="0" w:color="A5ABB6"/>
        <w:right w:val="single" w:sz="2" w:space="0" w:color="A5ABB6"/>
        <w:insideH w:val="single" w:sz="2" w:space="0" w:color="A5ABB6"/>
        <w:insideV w:val="single" w:sz="2" w:space="0" w:color="A5ABB6"/>
      </w:tblBorders>
      <w:tblCellMar>
        <w:top w:w="170" w:type="dxa"/>
        <w:left w:w="227" w:type="dxa"/>
        <w:bottom w:w="113" w:type="dxa"/>
        <w:right w:w="227" w:type="dxa"/>
      </w:tblCellMar>
    </w:tblPr>
    <w:trPr>
      <w:cantSplit/>
    </w:trPr>
    <w:tblStylePr w:type="firstRow">
      <w:rPr>
        <w:rFonts w:ascii="Arial" w:hAnsi="Arial"/>
        <w:b w:val="0"/>
        <w:color w:val="4B5869"/>
        <w:sz w:val="22"/>
      </w:rPr>
      <w:tblPr/>
      <w:trPr>
        <w:tblHeader/>
      </w:trPr>
      <w:tcPr>
        <w:tcBorders>
          <w:top w:val="nil"/>
          <w:left w:val="nil"/>
          <w:bottom w:val="nil"/>
          <w:right w:val="nil"/>
          <w:insideH w:val="nil"/>
          <w:insideV w:val="nil"/>
          <w:tl2br w:val="nil"/>
          <w:tr2bl w:val="nil"/>
        </w:tcBorders>
        <w:shd w:val="clear" w:color="auto" w:fill="DBF4FB"/>
        <w:tcMar>
          <w:top w:w="113" w:type="dxa"/>
          <w:left w:w="0" w:type="nil"/>
          <w:bottom w:w="113" w:type="dxa"/>
          <w:right w:w="0" w:type="nil"/>
        </w:tcMar>
      </w:tcPr>
    </w:tblStylePr>
  </w:style>
  <w:style w:type="character" w:customStyle="1" w:styleId="ArialBlackBlue">
    <w:name w:val="Arial Black Blue"/>
    <w:uiPriority w:val="1"/>
    <w:semiHidden/>
    <w:qFormat/>
    <w:rsid w:val="00AE6B19"/>
    <w:rPr>
      <w:rFonts w:ascii="Arial Black" w:hAnsi="Arial Black"/>
      <w:color w:val="45C7ED"/>
    </w:rPr>
  </w:style>
  <w:style w:type="character" w:styleId="PageNumber">
    <w:name w:val="page number"/>
    <w:uiPriority w:val="99"/>
    <w:semiHidden/>
    <w:qFormat/>
    <w:rsid w:val="00AE6B19"/>
    <w:rPr>
      <w:rFonts w:ascii="Arial" w:hAnsi="Arial"/>
      <w:b/>
      <w:color w:val="1C2735"/>
      <w:spacing w:val="-20"/>
      <w:sz w:val="16"/>
      <w:lang w:val="en-AU"/>
    </w:rPr>
  </w:style>
  <w:style w:type="paragraph" w:customStyle="1" w:styleId="Chapternumber">
    <w:name w:val="Chapter number"/>
    <w:semiHidden/>
    <w:qFormat/>
    <w:rsid w:val="00AE6B19"/>
    <w:pPr>
      <w:numPr>
        <w:numId w:val="5"/>
      </w:numPr>
      <w:spacing w:line="940" w:lineRule="exact"/>
      <w:ind w:left="142" w:firstLine="0"/>
    </w:pPr>
    <w:rPr>
      <w:rFonts w:ascii="Arial" w:hAnsi="Arial" w:cs="Arial"/>
      <w:b/>
      <w:color w:val="DADDE1"/>
      <w:sz w:val="94"/>
      <w:szCs w:val="94"/>
      <w:lang w:eastAsia="en-US"/>
    </w:rPr>
  </w:style>
  <w:style w:type="paragraph" w:styleId="FootnoteText">
    <w:name w:val="footnote text"/>
    <w:link w:val="FootnoteTextChar"/>
    <w:uiPriority w:val="99"/>
    <w:semiHidden/>
    <w:qFormat/>
    <w:rsid w:val="00AE6B19"/>
    <w:pPr>
      <w:tabs>
        <w:tab w:val="left" w:pos="284"/>
      </w:tabs>
      <w:spacing w:after="20" w:line="260" w:lineRule="atLeast"/>
      <w:ind w:left="284" w:hanging="284"/>
    </w:pPr>
    <w:rPr>
      <w:rFonts w:ascii="Arial" w:hAnsi="Arial"/>
      <w:color w:val="4B5869"/>
      <w:sz w:val="15"/>
      <w:lang w:eastAsia="en-US"/>
    </w:rPr>
  </w:style>
  <w:style w:type="character" w:customStyle="1" w:styleId="FootnoteTextChar">
    <w:name w:val="Footnote Text Char"/>
    <w:link w:val="FootnoteText"/>
    <w:uiPriority w:val="99"/>
    <w:semiHidden/>
    <w:rsid w:val="00AE6B19"/>
    <w:rPr>
      <w:rFonts w:ascii="Arial" w:hAnsi="Arial"/>
      <w:color w:val="4B5869"/>
      <w:sz w:val="15"/>
      <w:lang w:val="en-AU" w:eastAsia="en-US" w:bidi="ar-SA"/>
    </w:rPr>
  </w:style>
  <w:style w:type="character" w:styleId="FootnoteReference">
    <w:name w:val="footnote reference"/>
    <w:uiPriority w:val="99"/>
    <w:semiHidden/>
    <w:rsid w:val="00AE6B19"/>
    <w:rPr>
      <w:vertAlign w:val="superscript"/>
    </w:rPr>
  </w:style>
  <w:style w:type="paragraph" w:customStyle="1" w:styleId="Boxtitle">
    <w:name w:val="Box title"/>
    <w:basedOn w:val="Boxheading"/>
    <w:uiPriority w:val="1"/>
    <w:rsid w:val="00AE6B19"/>
    <w:pPr>
      <w:spacing w:before="113" w:after="113"/>
    </w:pPr>
    <w:rPr>
      <w:color w:val="45C7ED"/>
    </w:rPr>
  </w:style>
  <w:style w:type="paragraph" w:customStyle="1" w:styleId="Notetitle">
    <w:name w:val="Note title"/>
    <w:basedOn w:val="Heading2"/>
    <w:rsid w:val="00AE6B19"/>
    <w:pPr>
      <w:numPr>
        <w:ilvl w:val="7"/>
        <w:numId w:val="4"/>
      </w:numPr>
    </w:pPr>
  </w:style>
  <w:style w:type="character" w:customStyle="1" w:styleId="Black">
    <w:name w:val="Black"/>
    <w:uiPriority w:val="1"/>
    <w:semiHidden/>
    <w:qFormat/>
    <w:rsid w:val="00AE6B19"/>
    <w:rPr>
      <w:color w:val="1C2735"/>
      <w:lang w:val="en-AU"/>
    </w:rPr>
  </w:style>
  <w:style w:type="paragraph" w:customStyle="1" w:styleId="Numberedpara1stindent">
    <w:name w:val="Numbered para (1st indent)"/>
    <w:basedOn w:val="BodyText1"/>
    <w:rsid w:val="00AE6B19"/>
    <w:pPr>
      <w:numPr>
        <w:ilvl w:val="3"/>
        <w:numId w:val="4"/>
      </w:numPr>
    </w:pPr>
  </w:style>
  <w:style w:type="paragraph" w:customStyle="1" w:styleId="Numberedpara2ndindent">
    <w:name w:val="Numbered para (2nd indent)"/>
    <w:basedOn w:val="BodyText1"/>
    <w:rsid w:val="00AE6B19"/>
    <w:pPr>
      <w:numPr>
        <w:ilvl w:val="4"/>
        <w:numId w:val="4"/>
      </w:numPr>
    </w:pPr>
  </w:style>
  <w:style w:type="paragraph" w:customStyle="1" w:styleId="Numberedpara3rdindent">
    <w:name w:val="Numbered para (3rd indent)"/>
    <w:basedOn w:val="BodyText1"/>
    <w:rsid w:val="00AE6B19"/>
    <w:pPr>
      <w:numPr>
        <w:ilvl w:val="5"/>
        <w:numId w:val="4"/>
      </w:numPr>
    </w:pPr>
  </w:style>
  <w:style w:type="character" w:styleId="Hyperlink">
    <w:name w:val="Hyperlink"/>
    <w:uiPriority w:val="99"/>
    <w:rsid w:val="00660901"/>
    <w:rPr>
      <w:color w:val="0D6F8B"/>
      <w:u w:val="single"/>
    </w:rPr>
  </w:style>
  <w:style w:type="paragraph" w:customStyle="1" w:styleId="ColorfulList-Accent11">
    <w:name w:val="Colorful List - Accent 11"/>
    <w:basedOn w:val="Normal"/>
    <w:uiPriority w:val="34"/>
    <w:rsid w:val="00AE6B19"/>
    <w:pPr>
      <w:spacing w:line="276" w:lineRule="auto"/>
      <w:ind w:left="720"/>
      <w:contextualSpacing/>
    </w:pPr>
    <w:rPr>
      <w:rFonts w:eastAsia="Cambria"/>
      <w:szCs w:val="22"/>
    </w:rPr>
  </w:style>
  <w:style w:type="character" w:customStyle="1" w:styleId="Heading4Char">
    <w:name w:val="Heading 4 Char"/>
    <w:link w:val="Heading4"/>
    <w:uiPriority w:val="9"/>
    <w:rsid w:val="00AE6B19"/>
    <w:rPr>
      <w:rFonts w:ascii="Arial" w:eastAsia="Times New Roman" w:hAnsi="Arial" w:cs="Times New Roman"/>
      <w:b/>
      <w:bCs/>
      <w:i/>
      <w:iCs/>
      <w:color w:val="C96904"/>
      <w:szCs w:val="24"/>
      <w:lang w:val="en-US" w:eastAsia="en-US"/>
    </w:rPr>
  </w:style>
  <w:style w:type="paragraph" w:customStyle="1" w:styleId="BodyCopy">
    <w:name w:val="Body Copy"/>
    <w:basedOn w:val="Normal"/>
    <w:uiPriority w:val="99"/>
    <w:rsid w:val="00AE6B19"/>
    <w:pPr>
      <w:suppressAutoHyphens/>
      <w:autoSpaceDE w:val="0"/>
      <w:autoSpaceDN w:val="0"/>
      <w:adjustRightInd w:val="0"/>
      <w:spacing w:before="113" w:line="250" w:lineRule="atLeast"/>
      <w:textAlignment w:val="center"/>
    </w:pPr>
    <w:rPr>
      <w:rFonts w:ascii="Cambria" w:hAnsi="Cambria" w:cs="Cambria"/>
      <w:color w:val="000000"/>
      <w:spacing w:val="-1"/>
      <w:szCs w:val="20"/>
      <w:lang w:val="en-GB" w:eastAsia="en-AU"/>
    </w:rPr>
  </w:style>
  <w:style w:type="paragraph" w:customStyle="1" w:styleId="DateYear">
    <w:name w:val="Date:Year"/>
    <w:basedOn w:val="Normal"/>
    <w:link w:val="DateYearChar"/>
    <w:rsid w:val="00AE6B19"/>
    <w:pPr>
      <w:jc w:val="center"/>
    </w:pPr>
    <w:rPr>
      <w:rFonts w:cs="Arial"/>
      <w:b/>
      <w:caps/>
      <w:color w:val="FFFFFF"/>
    </w:rPr>
  </w:style>
  <w:style w:type="character" w:customStyle="1" w:styleId="DateYearChar">
    <w:name w:val="Date:Year Char"/>
    <w:link w:val="DateYear"/>
    <w:rsid w:val="00AE6B19"/>
    <w:rPr>
      <w:rFonts w:ascii="Arial" w:hAnsi="Arial" w:cs="Arial"/>
      <w:b/>
      <w:caps/>
      <w:color w:val="FFFFFF"/>
      <w:szCs w:val="24"/>
      <w:lang w:eastAsia="en-US"/>
    </w:rPr>
  </w:style>
  <w:style w:type="paragraph" w:customStyle="1" w:styleId="BasicParagraph">
    <w:name w:val="[Basic Paragraph]"/>
    <w:basedOn w:val="Normal"/>
    <w:uiPriority w:val="99"/>
    <w:rsid w:val="0099073D"/>
    <w:pPr>
      <w:autoSpaceDE w:val="0"/>
      <w:autoSpaceDN w:val="0"/>
      <w:adjustRightInd w:val="0"/>
      <w:spacing w:after="0" w:line="288" w:lineRule="auto"/>
      <w:textAlignment w:val="center"/>
    </w:pPr>
    <w:rPr>
      <w:rFonts w:ascii="Minion Pro" w:hAnsi="Minion Pro" w:cs="Minion Pro"/>
      <w:color w:val="000000"/>
      <w:sz w:val="24"/>
      <w:lang w:val="en-GB" w:eastAsia="en-AU"/>
    </w:rPr>
  </w:style>
  <w:style w:type="character" w:customStyle="1" w:styleId="FooterChar">
    <w:name w:val="Footer Char"/>
    <w:link w:val="Footer"/>
    <w:uiPriority w:val="99"/>
    <w:rsid w:val="00C86A41"/>
    <w:rPr>
      <w:rFonts w:ascii="Cambria" w:hAnsi="Cambria"/>
      <w:sz w:val="22"/>
      <w:szCs w:val="24"/>
      <w:lang w:eastAsia="en-US"/>
    </w:rPr>
  </w:style>
  <w:style w:type="paragraph" w:styleId="ListBullet">
    <w:name w:val="List Bullet"/>
    <w:basedOn w:val="Normal"/>
    <w:qFormat/>
    <w:rsid w:val="00F93EFA"/>
    <w:pPr>
      <w:numPr>
        <w:numId w:val="20"/>
      </w:numPr>
      <w:spacing w:line="240" w:lineRule="auto"/>
      <w:contextualSpacing/>
    </w:pPr>
  </w:style>
  <w:style w:type="paragraph" w:styleId="ListNumber">
    <w:name w:val="List Number"/>
    <w:basedOn w:val="Normal"/>
    <w:qFormat/>
    <w:rsid w:val="00240CA9"/>
    <w:pPr>
      <w:numPr>
        <w:numId w:val="18"/>
      </w:numPr>
      <w:spacing w:line="240" w:lineRule="auto"/>
      <w:ind w:left="357" w:hanging="357"/>
      <w:contextualSpacing/>
    </w:pPr>
  </w:style>
  <w:style w:type="paragraph" w:customStyle="1" w:styleId="Sourcenotetext">
    <w:name w:val="Source/note text"/>
    <w:qFormat/>
    <w:rsid w:val="00240CA9"/>
    <w:pPr>
      <w:spacing w:before="85" w:after="85"/>
    </w:pPr>
    <w:rPr>
      <w:rFonts w:ascii="Arial" w:hAnsi="Arial" w:cs="Arial"/>
      <w:i/>
      <w:sz w:val="12"/>
      <w:szCs w:val="12"/>
      <w:lang w:eastAsia="en-US"/>
    </w:rPr>
  </w:style>
  <w:style w:type="paragraph" w:styleId="BodyText">
    <w:name w:val="Body Text"/>
    <w:basedOn w:val="Normal"/>
    <w:link w:val="BodyTextChar"/>
    <w:rsid w:val="00240CA9"/>
    <w:pPr>
      <w:spacing w:after="120" w:line="240" w:lineRule="auto"/>
    </w:pPr>
    <w:rPr>
      <w:rFonts w:eastAsia="Cambria"/>
      <w:szCs w:val="22"/>
    </w:rPr>
  </w:style>
  <w:style w:type="character" w:customStyle="1" w:styleId="BodyTextChar">
    <w:name w:val="Body Text Char"/>
    <w:link w:val="BodyText"/>
    <w:rsid w:val="00240CA9"/>
    <w:rPr>
      <w:rFonts w:ascii="Cambria" w:eastAsia="Cambria" w:hAnsi="Cambria"/>
      <w:sz w:val="22"/>
      <w:szCs w:val="22"/>
      <w:lang w:eastAsia="en-US"/>
    </w:rPr>
  </w:style>
  <w:style w:type="paragraph" w:customStyle="1" w:styleId="BodyText2">
    <w:name w:val="Body Text2"/>
    <w:basedOn w:val="Normal"/>
    <w:qFormat/>
    <w:rsid w:val="004C069D"/>
    <w:rPr>
      <w:rFonts w:ascii="Cambria" w:hAnsi="Cambria"/>
    </w:rPr>
  </w:style>
  <w:style w:type="character" w:customStyle="1" w:styleId="LightExpertusefortablenumbers">
    <w:name w:val="Light Expert (use for table numbers)"/>
    <w:rsid w:val="004C069D"/>
  </w:style>
  <w:style w:type="character" w:customStyle="1" w:styleId="SuperscriptTableNote">
    <w:name w:val="Superscript (Table Note)"/>
    <w:rsid w:val="004C069D"/>
    <w:rPr>
      <w:rFonts w:ascii="TheSansSemiBold-Plain" w:hAnsi="TheSansSemiBold-Plain"/>
      <w:b/>
      <w:position w:val="4"/>
      <w:sz w:val="14"/>
    </w:rPr>
  </w:style>
  <w:style w:type="character" w:customStyle="1" w:styleId="SuperscriptBody">
    <w:name w:val="Superscript (Body)"/>
    <w:rsid w:val="004C069D"/>
    <w:rPr>
      <w:rFonts w:ascii="TheSansSemiBold-Plain" w:hAnsi="TheSansSemiBold-Plain"/>
      <w:b/>
      <w:position w:val="6"/>
      <w:sz w:val="14"/>
    </w:rPr>
  </w:style>
  <w:style w:type="character" w:customStyle="1" w:styleId="SuperscriptTableBold">
    <w:name w:val="Superscript (Table Bold)"/>
    <w:rsid w:val="004C069D"/>
    <w:rPr>
      <w:rFonts w:ascii="TheSansSemiBold-Plain" w:hAnsi="TheSansSemiBold-Plain" w:cs="TheSansSemiBold-Plain"/>
      <w:b/>
      <w:bCs/>
      <w:position w:val="4"/>
      <w:sz w:val="14"/>
      <w:szCs w:val="14"/>
    </w:rPr>
  </w:style>
  <w:style w:type="table" w:styleId="LightShading">
    <w:name w:val="Light Shading"/>
    <w:basedOn w:val="TableNormal"/>
    <w:uiPriority w:val="60"/>
    <w:rsid w:val="0032750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Heading">
    <w:name w:val="TOC Heading"/>
    <w:basedOn w:val="Heading1"/>
    <w:next w:val="Normal"/>
    <w:uiPriority w:val="39"/>
    <w:semiHidden/>
    <w:unhideWhenUsed/>
    <w:qFormat/>
    <w:rsid w:val="00220271"/>
    <w:pPr>
      <w:keepLines/>
      <w:spacing w:before="480" w:line="276" w:lineRule="auto"/>
      <w:outlineLvl w:val="9"/>
    </w:pPr>
    <w:rPr>
      <w:rFonts w:ascii="Cambria" w:hAnsi="Cambria"/>
      <w:b w:val="0"/>
      <w:bCs w:val="0"/>
      <w:color w:val="365F91"/>
      <w:spacing w:val="0"/>
      <w:sz w:val="28"/>
      <w:szCs w:val="28"/>
      <w:lang w:eastAsia="ja-JP"/>
    </w:rPr>
  </w:style>
  <w:style w:type="paragraph" w:styleId="TOC1">
    <w:name w:val="toc 1"/>
    <w:basedOn w:val="Normal"/>
    <w:next w:val="Normal"/>
    <w:autoRedefine/>
    <w:uiPriority w:val="39"/>
    <w:rsid w:val="00220271"/>
    <w:pPr>
      <w:spacing w:after="100"/>
    </w:pPr>
  </w:style>
  <w:style w:type="paragraph" w:styleId="TOC3">
    <w:name w:val="toc 3"/>
    <w:basedOn w:val="Normal"/>
    <w:next w:val="Normal"/>
    <w:autoRedefine/>
    <w:uiPriority w:val="39"/>
    <w:rsid w:val="00EC4176"/>
    <w:pPr>
      <w:tabs>
        <w:tab w:val="right" w:leader="dot" w:pos="9769"/>
      </w:tabs>
      <w:spacing w:after="100"/>
      <w:ind w:left="440"/>
    </w:pPr>
    <w:rPr>
      <w:bCs/>
      <w:noProof/>
      <w:spacing w:val="-6"/>
    </w:rPr>
  </w:style>
  <w:style w:type="character" w:customStyle="1" w:styleId="TablebodytextChar">
    <w:name w:val="Table body text Char"/>
    <w:link w:val="Tablebodytext"/>
    <w:rsid w:val="00220271"/>
    <w:rPr>
      <w:rFonts w:ascii="Arial" w:hAnsi="Arial"/>
      <w:sz w:val="17"/>
      <w:szCs w:val="24"/>
      <w:lang w:eastAsia="en-US"/>
    </w:rPr>
  </w:style>
  <w:style w:type="paragraph" w:customStyle="1" w:styleId="Heading3nonumbers">
    <w:name w:val="Heading 3 (no numbers)"/>
    <w:basedOn w:val="Heading3"/>
    <w:next w:val="Normal"/>
    <w:qFormat/>
    <w:rsid w:val="00220271"/>
    <w:pPr>
      <w:keepNext/>
      <w:keepLines/>
      <w:spacing w:before="284" w:after="113" w:line="240" w:lineRule="auto"/>
    </w:pPr>
    <w:rPr>
      <w:bCs w:val="0"/>
      <w:color w:val="auto"/>
      <w:sz w:val="26"/>
      <w:szCs w:val="26"/>
    </w:rPr>
  </w:style>
  <w:style w:type="paragraph" w:styleId="TOC2">
    <w:name w:val="toc 2"/>
    <w:basedOn w:val="Normal"/>
    <w:next w:val="Normal"/>
    <w:autoRedefine/>
    <w:uiPriority w:val="39"/>
    <w:rsid w:val="00220271"/>
    <w:pPr>
      <w:spacing w:after="100"/>
      <w:ind w:left="220"/>
    </w:pPr>
  </w:style>
  <w:style w:type="paragraph" w:styleId="ListParagraph">
    <w:name w:val="List Paragraph"/>
    <w:basedOn w:val="Normal"/>
    <w:uiPriority w:val="34"/>
    <w:qFormat/>
    <w:rsid w:val="00B52E93"/>
    <w:pPr>
      <w:spacing w:after="0" w:line="240" w:lineRule="auto"/>
      <w:ind w:left="720"/>
    </w:pPr>
    <w:rPr>
      <w:rFonts w:ascii="Calibri" w:eastAsia="Calibri" w:hAnsi="Calibri" w:cs="Calibri"/>
      <w:szCs w:val="22"/>
    </w:rPr>
  </w:style>
  <w:style w:type="paragraph" w:customStyle="1" w:styleId="Proposaltitle">
    <w:name w:val="Proposal title"/>
    <w:basedOn w:val="Tablebodytext"/>
    <w:link w:val="ProposaltitleChar"/>
    <w:qFormat/>
    <w:rsid w:val="00B52E93"/>
    <w:pPr>
      <w:spacing w:line="240" w:lineRule="auto"/>
    </w:pPr>
    <w:rPr>
      <w:b/>
    </w:rPr>
  </w:style>
  <w:style w:type="character" w:customStyle="1" w:styleId="ProposaltitleChar">
    <w:name w:val="Proposal title Char"/>
    <w:link w:val="Proposaltitle"/>
    <w:locked/>
    <w:rsid w:val="00B52E93"/>
    <w:rPr>
      <w:rFonts w:ascii="Arial" w:hAnsi="Arial"/>
      <w:b/>
      <w:sz w:val="17"/>
      <w:szCs w:val="24"/>
      <w:lang w:eastAsia="en-US"/>
    </w:rPr>
  </w:style>
  <w:style w:type="paragraph" w:customStyle="1" w:styleId="TableUnitsRow">
    <w:name w:val="Table Units Row"/>
    <w:basedOn w:val="Normal"/>
    <w:rsid w:val="00B52E93"/>
    <w:pPr>
      <w:keepNext/>
      <w:keepLines/>
      <w:spacing w:before="80" w:after="80" w:line="220" w:lineRule="atLeast"/>
      <w:ind w:left="6" w:right="113"/>
      <w:jc w:val="right"/>
    </w:pPr>
    <w:rPr>
      <w:sz w:val="20"/>
      <w:szCs w:val="20"/>
      <w:lang w:val="en-US"/>
    </w:rPr>
  </w:style>
  <w:style w:type="paragraph" w:customStyle="1" w:styleId="TableColumnHeading0">
    <w:name w:val="Table Column Heading"/>
    <w:basedOn w:val="Normal"/>
    <w:rsid w:val="00B52E93"/>
    <w:pPr>
      <w:keepNext/>
      <w:keepLines/>
      <w:spacing w:before="80" w:after="80" w:line="220" w:lineRule="atLeast"/>
      <w:ind w:left="6" w:right="113"/>
      <w:jc w:val="right"/>
    </w:pPr>
    <w:rPr>
      <w:i/>
      <w:sz w:val="20"/>
      <w:szCs w:val="20"/>
      <w:lang w:val="en-US"/>
    </w:rPr>
  </w:style>
  <w:style w:type="character" w:customStyle="1" w:styleId="Heading2Char">
    <w:name w:val="Heading 2 Char"/>
    <w:link w:val="Heading2"/>
    <w:rsid w:val="00D16882"/>
    <w:rPr>
      <w:rFonts w:ascii="Arial" w:hAnsi="Arial"/>
      <w:b/>
      <w:spacing w:val="-6"/>
      <w:sz w:val="26"/>
      <w:szCs w:val="26"/>
      <w:lang w:eastAsia="en-US"/>
    </w:rPr>
  </w:style>
  <w:style w:type="table" w:styleId="MediumGrid1-Accent6">
    <w:name w:val="Medium Grid 1 Accent 6"/>
    <w:basedOn w:val="TableNormal"/>
    <w:uiPriority w:val="67"/>
    <w:rsid w:val="0088765D"/>
    <w:rPr>
      <w:rFonts w:ascii="Calibri" w:eastAsia="Calibri" w:hAnsi="Calibri"/>
      <w:sz w:val="22"/>
      <w:szCs w:val="22"/>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Accent61">
    <w:name w:val="Medium Grid 1 - Accent 61"/>
    <w:basedOn w:val="TableNormal"/>
    <w:next w:val="MediumGrid1-Accent6"/>
    <w:uiPriority w:val="67"/>
    <w:rsid w:val="00DC36DA"/>
    <w:rPr>
      <w:rFonts w:ascii="Calibri" w:eastAsia="Calibri" w:hAnsi="Calibri"/>
      <w:sz w:val="22"/>
      <w:szCs w:val="22"/>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Accent62">
    <w:name w:val="Medium Grid 1 - Accent 62"/>
    <w:basedOn w:val="TableNormal"/>
    <w:next w:val="MediumGrid1-Accent6"/>
    <w:uiPriority w:val="67"/>
    <w:rsid w:val="001934B1"/>
    <w:rPr>
      <w:rFonts w:ascii="Calibri" w:eastAsia="Calibri" w:hAnsi="Calibri"/>
      <w:sz w:val="22"/>
      <w:szCs w:val="22"/>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Accent63">
    <w:name w:val="Medium Grid 1 - Accent 63"/>
    <w:basedOn w:val="TableNormal"/>
    <w:next w:val="MediumGrid1-Accent6"/>
    <w:uiPriority w:val="67"/>
    <w:rsid w:val="00202058"/>
    <w:rPr>
      <w:rFonts w:ascii="Calibri" w:eastAsia="Calibri" w:hAnsi="Calibri"/>
      <w:sz w:val="22"/>
      <w:szCs w:val="22"/>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Accent64">
    <w:name w:val="Medium Grid 1 - Accent 64"/>
    <w:basedOn w:val="TableNormal"/>
    <w:next w:val="MediumGrid1-Accent6"/>
    <w:uiPriority w:val="67"/>
    <w:rsid w:val="00607F7F"/>
    <w:rPr>
      <w:rFonts w:ascii="Calibri" w:eastAsia="Calibri" w:hAnsi="Calibri"/>
      <w:sz w:val="22"/>
      <w:szCs w:val="22"/>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character" w:styleId="CommentReference">
    <w:name w:val="annotation reference"/>
    <w:uiPriority w:val="99"/>
    <w:semiHidden/>
    <w:rsid w:val="0004563F"/>
    <w:rPr>
      <w:sz w:val="16"/>
      <w:szCs w:val="16"/>
    </w:rPr>
  </w:style>
  <w:style w:type="paragraph" w:styleId="CommentText">
    <w:name w:val="annotation text"/>
    <w:basedOn w:val="Normal"/>
    <w:link w:val="CommentTextChar"/>
    <w:uiPriority w:val="99"/>
    <w:semiHidden/>
    <w:rsid w:val="0004563F"/>
    <w:pPr>
      <w:spacing w:line="240" w:lineRule="auto"/>
    </w:pPr>
    <w:rPr>
      <w:sz w:val="20"/>
      <w:szCs w:val="20"/>
    </w:rPr>
  </w:style>
  <w:style w:type="character" w:customStyle="1" w:styleId="CommentTextChar">
    <w:name w:val="Comment Text Char"/>
    <w:link w:val="CommentText"/>
    <w:uiPriority w:val="99"/>
    <w:semiHidden/>
    <w:rsid w:val="0004563F"/>
    <w:rPr>
      <w:rFonts w:ascii="Arial" w:hAnsi="Arial"/>
      <w:lang w:eastAsia="en-US"/>
    </w:rPr>
  </w:style>
  <w:style w:type="paragraph" w:styleId="CommentSubject">
    <w:name w:val="annotation subject"/>
    <w:basedOn w:val="CommentText"/>
    <w:next w:val="CommentText"/>
    <w:link w:val="CommentSubjectChar"/>
    <w:uiPriority w:val="99"/>
    <w:semiHidden/>
    <w:rsid w:val="0004563F"/>
    <w:rPr>
      <w:b/>
      <w:bCs/>
    </w:rPr>
  </w:style>
  <w:style w:type="character" w:customStyle="1" w:styleId="CommentSubjectChar">
    <w:name w:val="Comment Subject Char"/>
    <w:link w:val="CommentSubject"/>
    <w:uiPriority w:val="99"/>
    <w:semiHidden/>
    <w:rsid w:val="0004563F"/>
    <w:rPr>
      <w:rFonts w:ascii="Arial" w:hAnsi="Arial"/>
      <w:b/>
      <w:bCs/>
      <w:lang w:eastAsia="en-US"/>
    </w:rPr>
  </w:style>
  <w:style w:type="table" w:customStyle="1" w:styleId="MediumGrid1-Accent65">
    <w:name w:val="Medium Grid 1 - Accent 65"/>
    <w:basedOn w:val="TableNormal"/>
    <w:next w:val="MediumGrid1-Accent6"/>
    <w:uiPriority w:val="67"/>
    <w:rsid w:val="00AC2262"/>
    <w:rPr>
      <w:rFonts w:ascii="Calibri" w:eastAsia="Calibri" w:hAnsi="Calibri"/>
      <w:sz w:val="22"/>
      <w:szCs w:val="22"/>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Accent66">
    <w:name w:val="Medium Grid 1 - Accent 66"/>
    <w:basedOn w:val="TableNormal"/>
    <w:next w:val="MediumGrid1-Accent6"/>
    <w:uiPriority w:val="67"/>
    <w:rsid w:val="00456BF3"/>
    <w:rPr>
      <w:rFonts w:ascii="Calibri" w:eastAsia="Calibri" w:hAnsi="Calibri"/>
      <w:sz w:val="22"/>
      <w:szCs w:val="22"/>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Accent67">
    <w:name w:val="Medium Grid 1 - Accent 67"/>
    <w:basedOn w:val="TableNormal"/>
    <w:next w:val="MediumGrid1-Accent6"/>
    <w:uiPriority w:val="67"/>
    <w:rsid w:val="00C97C9B"/>
    <w:rPr>
      <w:rFonts w:ascii="Calibri" w:eastAsia="Calibri" w:hAnsi="Calibri"/>
      <w:sz w:val="22"/>
      <w:szCs w:val="22"/>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Accent68">
    <w:name w:val="Medium Grid 1 - Accent 68"/>
    <w:basedOn w:val="TableNormal"/>
    <w:next w:val="MediumGrid1-Accent6"/>
    <w:uiPriority w:val="67"/>
    <w:rsid w:val="009C41A4"/>
    <w:rPr>
      <w:rFonts w:ascii="Calibri" w:eastAsia="Calibri" w:hAnsi="Calibri"/>
      <w:sz w:val="22"/>
      <w:szCs w:val="22"/>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character" w:customStyle="1" w:styleId="Heading3Char">
    <w:name w:val="Heading 3 Char"/>
    <w:link w:val="Heading3"/>
    <w:rsid w:val="00AF6F6A"/>
    <w:rPr>
      <w:rFonts w:ascii="Arial" w:hAnsi="Arial"/>
      <w:b/>
      <w:bCs/>
      <w:color w:val="F79646"/>
      <w:spacing w:val="-6"/>
      <w:sz w:val="22"/>
      <w:szCs w:val="22"/>
      <w:lang w:eastAsia="en-US"/>
    </w:rPr>
  </w:style>
  <w:style w:type="table" w:customStyle="1" w:styleId="MediumGrid1-Accent69">
    <w:name w:val="Medium Grid 1 - Accent 69"/>
    <w:basedOn w:val="TableNormal"/>
    <w:next w:val="MediumGrid1-Accent6"/>
    <w:uiPriority w:val="67"/>
    <w:rsid w:val="00747569"/>
    <w:rPr>
      <w:rFonts w:ascii="Calibri" w:eastAsia="Calibri" w:hAnsi="Calibri"/>
      <w:sz w:val="22"/>
      <w:szCs w:val="22"/>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Accent611">
    <w:name w:val="Medium Grid 1 - Accent 611"/>
    <w:basedOn w:val="TableNormal"/>
    <w:next w:val="MediumGrid1-Accent6"/>
    <w:uiPriority w:val="67"/>
    <w:rsid w:val="007B70F0"/>
    <w:rPr>
      <w:rFonts w:ascii="Calibri" w:eastAsia="Calibri" w:hAnsi="Calibri"/>
      <w:sz w:val="22"/>
      <w:szCs w:val="22"/>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Accent610">
    <w:name w:val="Medium Grid 1 - Accent 610"/>
    <w:basedOn w:val="TableNormal"/>
    <w:next w:val="MediumGrid1-Accent6"/>
    <w:uiPriority w:val="67"/>
    <w:rsid w:val="007B70F0"/>
    <w:rPr>
      <w:rFonts w:ascii="Calibri" w:eastAsia="Calibri" w:hAnsi="Calibri"/>
      <w:sz w:val="22"/>
      <w:szCs w:val="22"/>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Accent612">
    <w:name w:val="Medium Grid 1 - Accent 612"/>
    <w:basedOn w:val="TableNormal"/>
    <w:next w:val="MediumGrid1-Accent6"/>
    <w:uiPriority w:val="67"/>
    <w:rsid w:val="007B70F0"/>
    <w:rPr>
      <w:rFonts w:ascii="Calibri" w:eastAsia="Calibri" w:hAnsi="Calibri"/>
      <w:sz w:val="22"/>
      <w:szCs w:val="22"/>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Accent613">
    <w:name w:val="Medium Grid 1 - Accent 613"/>
    <w:basedOn w:val="TableNormal"/>
    <w:next w:val="MediumGrid1-Accent6"/>
    <w:uiPriority w:val="67"/>
    <w:rsid w:val="00F34D33"/>
    <w:rPr>
      <w:rFonts w:ascii="Calibri" w:eastAsia="Calibri" w:hAnsi="Calibri"/>
      <w:sz w:val="22"/>
      <w:szCs w:val="22"/>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Accent614">
    <w:name w:val="Medium Grid 1 - Accent 614"/>
    <w:basedOn w:val="TableNormal"/>
    <w:next w:val="MediumGrid1-Accent6"/>
    <w:uiPriority w:val="67"/>
    <w:rsid w:val="00F34D33"/>
    <w:rPr>
      <w:rFonts w:ascii="Calibri" w:eastAsia="Calibri" w:hAnsi="Calibri"/>
      <w:sz w:val="22"/>
      <w:szCs w:val="22"/>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Accent615">
    <w:name w:val="Medium Grid 1 - Accent 615"/>
    <w:basedOn w:val="TableNormal"/>
    <w:next w:val="MediumGrid1-Accent6"/>
    <w:uiPriority w:val="67"/>
    <w:rsid w:val="00686906"/>
    <w:rPr>
      <w:rFonts w:ascii="Calibri" w:eastAsia="Calibri" w:hAnsi="Calibri"/>
      <w:sz w:val="22"/>
      <w:szCs w:val="22"/>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character" w:styleId="FollowedHyperlink">
    <w:name w:val="FollowedHyperlink"/>
    <w:uiPriority w:val="99"/>
    <w:semiHidden/>
    <w:rsid w:val="00FB7969"/>
    <w:rPr>
      <w:color w:val="800080"/>
      <w:u w:val="single"/>
    </w:rPr>
  </w:style>
  <w:style w:type="paragraph" w:customStyle="1" w:styleId="note">
    <w:name w:val="note"/>
    <w:basedOn w:val="Normal"/>
    <w:uiPriority w:val="99"/>
    <w:rsid w:val="00730ADC"/>
    <w:pPr>
      <w:widowControl w:val="0"/>
      <w:suppressAutoHyphens/>
      <w:autoSpaceDE w:val="0"/>
      <w:autoSpaceDN w:val="0"/>
      <w:adjustRightInd w:val="0"/>
      <w:spacing w:after="113" w:line="200" w:lineRule="atLeast"/>
      <w:textAlignment w:val="center"/>
    </w:pPr>
    <w:rPr>
      <w:rFonts w:cs="Interstate-Light"/>
      <w:color w:val="000000"/>
      <w:sz w:val="18"/>
      <w:szCs w:val="16"/>
      <w:lang w:val="en-GB"/>
    </w:rPr>
  </w:style>
  <w:style w:type="paragraph" w:customStyle="1" w:styleId="TableParagraph">
    <w:name w:val="Table Paragraph"/>
    <w:basedOn w:val="Normal"/>
    <w:uiPriority w:val="1"/>
    <w:qFormat/>
    <w:rsid w:val="00730ADC"/>
    <w:pPr>
      <w:widowControl w:val="0"/>
      <w:autoSpaceDE w:val="0"/>
      <w:autoSpaceDN w:val="0"/>
      <w:adjustRightInd w:val="0"/>
      <w:spacing w:after="0" w:line="240" w:lineRule="auto"/>
    </w:pPr>
    <w:rPr>
      <w:rFonts w:ascii="Times New Roman" w:eastAsia="MS Mincho" w:hAnsi="Times New Roman"/>
      <w:sz w:val="24"/>
      <w:lang w:eastAsia="en-AU"/>
    </w:rPr>
  </w:style>
  <w:style w:type="paragraph" w:styleId="NormalWeb">
    <w:name w:val="Normal (Web)"/>
    <w:basedOn w:val="Normal"/>
    <w:uiPriority w:val="99"/>
    <w:unhideWhenUsed/>
    <w:rsid w:val="00F5787B"/>
    <w:pPr>
      <w:spacing w:after="0" w:line="240" w:lineRule="auto"/>
      <w:textAlignment w:val="baseline"/>
    </w:pPr>
    <w:rPr>
      <w:rFonts w:ascii="Times New Roman" w:hAnsi="Times New Roman"/>
      <w:sz w:val="24"/>
      <w:lang w:eastAsia="en-AU"/>
    </w:rPr>
  </w:style>
  <w:style w:type="character" w:styleId="Emphasis">
    <w:name w:val="Emphasis"/>
    <w:basedOn w:val="DefaultParagraphFont"/>
    <w:uiPriority w:val="20"/>
    <w:qFormat/>
    <w:rsid w:val="006F68B9"/>
    <w:rPr>
      <w:i/>
      <w:iCs/>
      <w:sz w:val="24"/>
      <w:szCs w:val="24"/>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2271">
      <w:bodyDiv w:val="1"/>
      <w:marLeft w:val="0"/>
      <w:marRight w:val="0"/>
      <w:marTop w:val="0"/>
      <w:marBottom w:val="0"/>
      <w:divBdr>
        <w:top w:val="none" w:sz="0" w:space="0" w:color="auto"/>
        <w:left w:val="none" w:sz="0" w:space="0" w:color="auto"/>
        <w:bottom w:val="none" w:sz="0" w:space="0" w:color="auto"/>
        <w:right w:val="none" w:sz="0" w:space="0" w:color="auto"/>
      </w:divBdr>
      <w:divsChild>
        <w:div w:id="1907256248">
          <w:marLeft w:val="0"/>
          <w:marRight w:val="0"/>
          <w:marTop w:val="0"/>
          <w:marBottom w:val="0"/>
          <w:divBdr>
            <w:top w:val="none" w:sz="0" w:space="0" w:color="auto"/>
            <w:left w:val="none" w:sz="0" w:space="0" w:color="auto"/>
            <w:bottom w:val="none" w:sz="0" w:space="0" w:color="auto"/>
            <w:right w:val="none" w:sz="0" w:space="0" w:color="auto"/>
          </w:divBdr>
          <w:divsChild>
            <w:div w:id="1194465972">
              <w:marLeft w:val="0"/>
              <w:marRight w:val="0"/>
              <w:marTop w:val="0"/>
              <w:marBottom w:val="0"/>
              <w:divBdr>
                <w:top w:val="none" w:sz="0" w:space="0" w:color="auto"/>
                <w:left w:val="none" w:sz="0" w:space="0" w:color="auto"/>
                <w:bottom w:val="none" w:sz="0" w:space="0" w:color="auto"/>
                <w:right w:val="none" w:sz="0" w:space="0" w:color="auto"/>
              </w:divBdr>
              <w:divsChild>
                <w:div w:id="122311968">
                  <w:marLeft w:val="0"/>
                  <w:marRight w:val="0"/>
                  <w:marTop w:val="0"/>
                  <w:marBottom w:val="0"/>
                  <w:divBdr>
                    <w:top w:val="none" w:sz="0" w:space="0" w:color="auto"/>
                    <w:left w:val="none" w:sz="0" w:space="0" w:color="auto"/>
                    <w:bottom w:val="none" w:sz="0" w:space="0" w:color="auto"/>
                    <w:right w:val="none" w:sz="0" w:space="0" w:color="auto"/>
                  </w:divBdr>
                  <w:divsChild>
                    <w:div w:id="1788695785">
                      <w:marLeft w:val="150"/>
                      <w:marRight w:val="150"/>
                      <w:marTop w:val="0"/>
                      <w:marBottom w:val="0"/>
                      <w:divBdr>
                        <w:top w:val="none" w:sz="0" w:space="0" w:color="auto"/>
                        <w:left w:val="none" w:sz="0" w:space="0" w:color="auto"/>
                        <w:bottom w:val="none" w:sz="0" w:space="0" w:color="auto"/>
                        <w:right w:val="none" w:sz="0" w:space="0" w:color="auto"/>
                      </w:divBdr>
                      <w:divsChild>
                        <w:div w:id="117265163">
                          <w:marLeft w:val="0"/>
                          <w:marRight w:val="0"/>
                          <w:marTop w:val="0"/>
                          <w:marBottom w:val="0"/>
                          <w:divBdr>
                            <w:top w:val="none" w:sz="0" w:space="0" w:color="auto"/>
                            <w:left w:val="none" w:sz="0" w:space="0" w:color="auto"/>
                            <w:bottom w:val="none" w:sz="0" w:space="0" w:color="auto"/>
                            <w:right w:val="none" w:sz="0" w:space="0" w:color="auto"/>
                          </w:divBdr>
                          <w:divsChild>
                            <w:div w:id="487131837">
                              <w:marLeft w:val="0"/>
                              <w:marRight w:val="0"/>
                              <w:marTop w:val="0"/>
                              <w:marBottom w:val="0"/>
                              <w:divBdr>
                                <w:top w:val="none" w:sz="0" w:space="0" w:color="auto"/>
                                <w:left w:val="none" w:sz="0" w:space="0" w:color="auto"/>
                                <w:bottom w:val="none" w:sz="0" w:space="0" w:color="auto"/>
                                <w:right w:val="none" w:sz="0" w:space="0" w:color="auto"/>
                              </w:divBdr>
                              <w:divsChild>
                                <w:div w:id="402795891">
                                  <w:marLeft w:val="0"/>
                                  <w:marRight w:val="0"/>
                                  <w:marTop w:val="0"/>
                                  <w:marBottom w:val="0"/>
                                  <w:divBdr>
                                    <w:top w:val="none" w:sz="0" w:space="0" w:color="auto"/>
                                    <w:left w:val="none" w:sz="0" w:space="0" w:color="auto"/>
                                    <w:bottom w:val="none" w:sz="0" w:space="0" w:color="auto"/>
                                    <w:right w:val="none" w:sz="0" w:space="0" w:color="auto"/>
                                  </w:divBdr>
                                  <w:divsChild>
                                    <w:div w:id="1831868818">
                                      <w:marLeft w:val="0"/>
                                      <w:marRight w:val="0"/>
                                      <w:marTop w:val="0"/>
                                      <w:marBottom w:val="0"/>
                                      <w:divBdr>
                                        <w:top w:val="none" w:sz="0" w:space="0" w:color="auto"/>
                                        <w:left w:val="none" w:sz="0" w:space="0" w:color="auto"/>
                                        <w:bottom w:val="none" w:sz="0" w:space="0" w:color="auto"/>
                                        <w:right w:val="none" w:sz="0" w:space="0" w:color="auto"/>
                                      </w:divBdr>
                                      <w:divsChild>
                                        <w:div w:id="1101877683">
                                          <w:marLeft w:val="0"/>
                                          <w:marRight w:val="0"/>
                                          <w:marTop w:val="0"/>
                                          <w:marBottom w:val="0"/>
                                          <w:divBdr>
                                            <w:top w:val="none" w:sz="0" w:space="0" w:color="auto"/>
                                            <w:left w:val="none" w:sz="0" w:space="0" w:color="auto"/>
                                            <w:bottom w:val="none" w:sz="0" w:space="0" w:color="auto"/>
                                            <w:right w:val="none" w:sz="0" w:space="0" w:color="auto"/>
                                          </w:divBdr>
                                          <w:divsChild>
                                            <w:div w:id="1522474161">
                                              <w:marLeft w:val="0"/>
                                              <w:marRight w:val="0"/>
                                              <w:marTop w:val="0"/>
                                              <w:marBottom w:val="0"/>
                                              <w:divBdr>
                                                <w:top w:val="none" w:sz="0" w:space="0" w:color="auto"/>
                                                <w:left w:val="none" w:sz="0" w:space="0" w:color="auto"/>
                                                <w:bottom w:val="none" w:sz="0" w:space="0" w:color="auto"/>
                                                <w:right w:val="none" w:sz="0" w:space="0" w:color="auto"/>
                                              </w:divBdr>
                                              <w:divsChild>
                                                <w:div w:id="1223251913">
                                                  <w:marLeft w:val="0"/>
                                                  <w:marRight w:val="0"/>
                                                  <w:marTop w:val="0"/>
                                                  <w:marBottom w:val="0"/>
                                                  <w:divBdr>
                                                    <w:top w:val="none" w:sz="0" w:space="0" w:color="auto"/>
                                                    <w:left w:val="none" w:sz="0" w:space="0" w:color="auto"/>
                                                    <w:bottom w:val="none" w:sz="0" w:space="0" w:color="auto"/>
                                                    <w:right w:val="none" w:sz="0" w:space="0" w:color="auto"/>
                                                  </w:divBdr>
                                                  <w:divsChild>
                                                    <w:div w:id="10647959">
                                                      <w:marLeft w:val="0"/>
                                                      <w:marRight w:val="0"/>
                                                      <w:marTop w:val="0"/>
                                                      <w:marBottom w:val="0"/>
                                                      <w:divBdr>
                                                        <w:top w:val="none" w:sz="0" w:space="0" w:color="auto"/>
                                                        <w:left w:val="none" w:sz="0" w:space="0" w:color="auto"/>
                                                        <w:bottom w:val="none" w:sz="0" w:space="0" w:color="auto"/>
                                                        <w:right w:val="none" w:sz="0" w:space="0" w:color="auto"/>
                                                      </w:divBdr>
                                                      <w:divsChild>
                                                        <w:div w:id="1778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5229492">
      <w:bodyDiv w:val="1"/>
      <w:marLeft w:val="0"/>
      <w:marRight w:val="0"/>
      <w:marTop w:val="0"/>
      <w:marBottom w:val="0"/>
      <w:divBdr>
        <w:top w:val="none" w:sz="0" w:space="0" w:color="auto"/>
        <w:left w:val="none" w:sz="0" w:space="0" w:color="auto"/>
        <w:bottom w:val="none" w:sz="0" w:space="0" w:color="auto"/>
        <w:right w:val="none" w:sz="0" w:space="0" w:color="auto"/>
      </w:divBdr>
      <w:divsChild>
        <w:div w:id="636836507">
          <w:marLeft w:val="0"/>
          <w:marRight w:val="0"/>
          <w:marTop w:val="0"/>
          <w:marBottom w:val="0"/>
          <w:divBdr>
            <w:top w:val="none" w:sz="0" w:space="0" w:color="auto"/>
            <w:left w:val="none" w:sz="0" w:space="0" w:color="auto"/>
            <w:bottom w:val="none" w:sz="0" w:space="0" w:color="auto"/>
            <w:right w:val="none" w:sz="0" w:space="0" w:color="auto"/>
          </w:divBdr>
          <w:divsChild>
            <w:div w:id="1792166454">
              <w:marLeft w:val="0"/>
              <w:marRight w:val="0"/>
              <w:marTop w:val="0"/>
              <w:marBottom w:val="0"/>
              <w:divBdr>
                <w:top w:val="none" w:sz="0" w:space="0" w:color="auto"/>
                <w:left w:val="none" w:sz="0" w:space="0" w:color="auto"/>
                <w:bottom w:val="none" w:sz="0" w:space="0" w:color="auto"/>
                <w:right w:val="none" w:sz="0" w:space="0" w:color="auto"/>
              </w:divBdr>
              <w:divsChild>
                <w:div w:id="1964071855">
                  <w:marLeft w:val="0"/>
                  <w:marRight w:val="0"/>
                  <w:marTop w:val="0"/>
                  <w:marBottom w:val="0"/>
                  <w:divBdr>
                    <w:top w:val="none" w:sz="0" w:space="0" w:color="auto"/>
                    <w:left w:val="none" w:sz="0" w:space="0" w:color="auto"/>
                    <w:bottom w:val="none" w:sz="0" w:space="0" w:color="auto"/>
                    <w:right w:val="none" w:sz="0" w:space="0" w:color="auto"/>
                  </w:divBdr>
                  <w:divsChild>
                    <w:div w:id="1654984718">
                      <w:marLeft w:val="150"/>
                      <w:marRight w:val="150"/>
                      <w:marTop w:val="0"/>
                      <w:marBottom w:val="0"/>
                      <w:divBdr>
                        <w:top w:val="none" w:sz="0" w:space="0" w:color="auto"/>
                        <w:left w:val="none" w:sz="0" w:space="0" w:color="auto"/>
                        <w:bottom w:val="none" w:sz="0" w:space="0" w:color="auto"/>
                        <w:right w:val="none" w:sz="0" w:space="0" w:color="auto"/>
                      </w:divBdr>
                      <w:divsChild>
                        <w:div w:id="1020743314">
                          <w:marLeft w:val="0"/>
                          <w:marRight w:val="0"/>
                          <w:marTop w:val="0"/>
                          <w:marBottom w:val="0"/>
                          <w:divBdr>
                            <w:top w:val="none" w:sz="0" w:space="0" w:color="auto"/>
                            <w:left w:val="none" w:sz="0" w:space="0" w:color="auto"/>
                            <w:bottom w:val="none" w:sz="0" w:space="0" w:color="auto"/>
                            <w:right w:val="none" w:sz="0" w:space="0" w:color="auto"/>
                          </w:divBdr>
                          <w:divsChild>
                            <w:div w:id="1938246983">
                              <w:marLeft w:val="0"/>
                              <w:marRight w:val="0"/>
                              <w:marTop w:val="0"/>
                              <w:marBottom w:val="0"/>
                              <w:divBdr>
                                <w:top w:val="none" w:sz="0" w:space="0" w:color="auto"/>
                                <w:left w:val="none" w:sz="0" w:space="0" w:color="auto"/>
                                <w:bottom w:val="none" w:sz="0" w:space="0" w:color="auto"/>
                                <w:right w:val="none" w:sz="0" w:space="0" w:color="auto"/>
                              </w:divBdr>
                              <w:divsChild>
                                <w:div w:id="882212509">
                                  <w:marLeft w:val="0"/>
                                  <w:marRight w:val="0"/>
                                  <w:marTop w:val="0"/>
                                  <w:marBottom w:val="0"/>
                                  <w:divBdr>
                                    <w:top w:val="none" w:sz="0" w:space="0" w:color="auto"/>
                                    <w:left w:val="none" w:sz="0" w:space="0" w:color="auto"/>
                                    <w:bottom w:val="none" w:sz="0" w:space="0" w:color="auto"/>
                                    <w:right w:val="none" w:sz="0" w:space="0" w:color="auto"/>
                                  </w:divBdr>
                                  <w:divsChild>
                                    <w:div w:id="1141921469">
                                      <w:marLeft w:val="0"/>
                                      <w:marRight w:val="0"/>
                                      <w:marTop w:val="0"/>
                                      <w:marBottom w:val="0"/>
                                      <w:divBdr>
                                        <w:top w:val="none" w:sz="0" w:space="0" w:color="auto"/>
                                        <w:left w:val="none" w:sz="0" w:space="0" w:color="auto"/>
                                        <w:bottom w:val="none" w:sz="0" w:space="0" w:color="auto"/>
                                        <w:right w:val="none" w:sz="0" w:space="0" w:color="auto"/>
                                      </w:divBdr>
                                      <w:divsChild>
                                        <w:div w:id="1179657574">
                                          <w:marLeft w:val="0"/>
                                          <w:marRight w:val="0"/>
                                          <w:marTop w:val="0"/>
                                          <w:marBottom w:val="0"/>
                                          <w:divBdr>
                                            <w:top w:val="none" w:sz="0" w:space="0" w:color="auto"/>
                                            <w:left w:val="none" w:sz="0" w:space="0" w:color="auto"/>
                                            <w:bottom w:val="none" w:sz="0" w:space="0" w:color="auto"/>
                                            <w:right w:val="none" w:sz="0" w:space="0" w:color="auto"/>
                                          </w:divBdr>
                                          <w:divsChild>
                                            <w:div w:id="1025012632">
                                              <w:marLeft w:val="0"/>
                                              <w:marRight w:val="0"/>
                                              <w:marTop w:val="0"/>
                                              <w:marBottom w:val="0"/>
                                              <w:divBdr>
                                                <w:top w:val="none" w:sz="0" w:space="0" w:color="auto"/>
                                                <w:left w:val="none" w:sz="0" w:space="0" w:color="auto"/>
                                                <w:bottom w:val="none" w:sz="0" w:space="0" w:color="auto"/>
                                                <w:right w:val="none" w:sz="0" w:space="0" w:color="auto"/>
                                              </w:divBdr>
                                              <w:divsChild>
                                                <w:div w:id="134109212">
                                                  <w:marLeft w:val="0"/>
                                                  <w:marRight w:val="0"/>
                                                  <w:marTop w:val="0"/>
                                                  <w:marBottom w:val="0"/>
                                                  <w:divBdr>
                                                    <w:top w:val="none" w:sz="0" w:space="0" w:color="auto"/>
                                                    <w:left w:val="none" w:sz="0" w:space="0" w:color="auto"/>
                                                    <w:bottom w:val="none" w:sz="0" w:space="0" w:color="auto"/>
                                                    <w:right w:val="none" w:sz="0" w:space="0" w:color="auto"/>
                                                  </w:divBdr>
                                                  <w:divsChild>
                                                    <w:div w:id="508181462">
                                                      <w:marLeft w:val="0"/>
                                                      <w:marRight w:val="0"/>
                                                      <w:marTop w:val="0"/>
                                                      <w:marBottom w:val="0"/>
                                                      <w:divBdr>
                                                        <w:top w:val="none" w:sz="0" w:space="0" w:color="auto"/>
                                                        <w:left w:val="none" w:sz="0" w:space="0" w:color="auto"/>
                                                        <w:bottom w:val="none" w:sz="0" w:space="0" w:color="auto"/>
                                                        <w:right w:val="none" w:sz="0" w:space="0" w:color="auto"/>
                                                      </w:divBdr>
                                                      <w:divsChild>
                                                        <w:div w:id="77112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3412645">
      <w:bodyDiv w:val="1"/>
      <w:marLeft w:val="0"/>
      <w:marRight w:val="0"/>
      <w:marTop w:val="0"/>
      <w:marBottom w:val="0"/>
      <w:divBdr>
        <w:top w:val="none" w:sz="0" w:space="0" w:color="auto"/>
        <w:left w:val="none" w:sz="0" w:space="0" w:color="auto"/>
        <w:bottom w:val="none" w:sz="0" w:space="0" w:color="auto"/>
        <w:right w:val="none" w:sz="0" w:space="0" w:color="auto"/>
      </w:divBdr>
      <w:divsChild>
        <w:div w:id="864514656">
          <w:marLeft w:val="0"/>
          <w:marRight w:val="0"/>
          <w:marTop w:val="0"/>
          <w:marBottom w:val="0"/>
          <w:divBdr>
            <w:top w:val="none" w:sz="0" w:space="0" w:color="auto"/>
            <w:left w:val="none" w:sz="0" w:space="0" w:color="auto"/>
            <w:bottom w:val="none" w:sz="0" w:space="0" w:color="auto"/>
            <w:right w:val="none" w:sz="0" w:space="0" w:color="auto"/>
          </w:divBdr>
          <w:divsChild>
            <w:div w:id="188752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69072">
      <w:bodyDiv w:val="1"/>
      <w:marLeft w:val="0"/>
      <w:marRight w:val="0"/>
      <w:marTop w:val="0"/>
      <w:marBottom w:val="0"/>
      <w:divBdr>
        <w:top w:val="none" w:sz="0" w:space="0" w:color="auto"/>
        <w:left w:val="none" w:sz="0" w:space="0" w:color="auto"/>
        <w:bottom w:val="none" w:sz="0" w:space="0" w:color="auto"/>
        <w:right w:val="none" w:sz="0" w:space="0" w:color="auto"/>
      </w:divBdr>
    </w:div>
    <w:div w:id="664825677">
      <w:bodyDiv w:val="1"/>
      <w:marLeft w:val="0"/>
      <w:marRight w:val="0"/>
      <w:marTop w:val="0"/>
      <w:marBottom w:val="0"/>
      <w:divBdr>
        <w:top w:val="none" w:sz="0" w:space="0" w:color="auto"/>
        <w:left w:val="none" w:sz="0" w:space="0" w:color="auto"/>
        <w:bottom w:val="none" w:sz="0" w:space="0" w:color="auto"/>
        <w:right w:val="none" w:sz="0" w:space="0" w:color="auto"/>
      </w:divBdr>
      <w:divsChild>
        <w:div w:id="1089885041">
          <w:marLeft w:val="0"/>
          <w:marRight w:val="0"/>
          <w:marTop w:val="0"/>
          <w:marBottom w:val="0"/>
          <w:divBdr>
            <w:top w:val="none" w:sz="0" w:space="0" w:color="auto"/>
            <w:left w:val="none" w:sz="0" w:space="0" w:color="auto"/>
            <w:bottom w:val="none" w:sz="0" w:space="0" w:color="auto"/>
            <w:right w:val="none" w:sz="0" w:space="0" w:color="auto"/>
          </w:divBdr>
          <w:divsChild>
            <w:div w:id="1841191010">
              <w:marLeft w:val="0"/>
              <w:marRight w:val="0"/>
              <w:marTop w:val="0"/>
              <w:marBottom w:val="0"/>
              <w:divBdr>
                <w:top w:val="none" w:sz="0" w:space="0" w:color="auto"/>
                <w:left w:val="none" w:sz="0" w:space="0" w:color="auto"/>
                <w:bottom w:val="none" w:sz="0" w:space="0" w:color="auto"/>
                <w:right w:val="none" w:sz="0" w:space="0" w:color="auto"/>
              </w:divBdr>
              <w:divsChild>
                <w:div w:id="2059938128">
                  <w:marLeft w:val="0"/>
                  <w:marRight w:val="0"/>
                  <w:marTop w:val="0"/>
                  <w:marBottom w:val="0"/>
                  <w:divBdr>
                    <w:top w:val="none" w:sz="0" w:space="0" w:color="auto"/>
                    <w:left w:val="none" w:sz="0" w:space="0" w:color="auto"/>
                    <w:bottom w:val="none" w:sz="0" w:space="0" w:color="auto"/>
                    <w:right w:val="none" w:sz="0" w:space="0" w:color="auto"/>
                  </w:divBdr>
                  <w:divsChild>
                    <w:div w:id="1798179484">
                      <w:marLeft w:val="150"/>
                      <w:marRight w:val="150"/>
                      <w:marTop w:val="0"/>
                      <w:marBottom w:val="0"/>
                      <w:divBdr>
                        <w:top w:val="none" w:sz="0" w:space="0" w:color="auto"/>
                        <w:left w:val="none" w:sz="0" w:space="0" w:color="auto"/>
                        <w:bottom w:val="none" w:sz="0" w:space="0" w:color="auto"/>
                        <w:right w:val="none" w:sz="0" w:space="0" w:color="auto"/>
                      </w:divBdr>
                      <w:divsChild>
                        <w:div w:id="867832829">
                          <w:marLeft w:val="0"/>
                          <w:marRight w:val="0"/>
                          <w:marTop w:val="0"/>
                          <w:marBottom w:val="0"/>
                          <w:divBdr>
                            <w:top w:val="none" w:sz="0" w:space="0" w:color="auto"/>
                            <w:left w:val="none" w:sz="0" w:space="0" w:color="auto"/>
                            <w:bottom w:val="none" w:sz="0" w:space="0" w:color="auto"/>
                            <w:right w:val="none" w:sz="0" w:space="0" w:color="auto"/>
                          </w:divBdr>
                          <w:divsChild>
                            <w:div w:id="695158183">
                              <w:marLeft w:val="0"/>
                              <w:marRight w:val="0"/>
                              <w:marTop w:val="0"/>
                              <w:marBottom w:val="0"/>
                              <w:divBdr>
                                <w:top w:val="none" w:sz="0" w:space="0" w:color="auto"/>
                                <w:left w:val="none" w:sz="0" w:space="0" w:color="auto"/>
                                <w:bottom w:val="none" w:sz="0" w:space="0" w:color="auto"/>
                                <w:right w:val="none" w:sz="0" w:space="0" w:color="auto"/>
                              </w:divBdr>
                              <w:divsChild>
                                <w:div w:id="821041405">
                                  <w:marLeft w:val="0"/>
                                  <w:marRight w:val="0"/>
                                  <w:marTop w:val="0"/>
                                  <w:marBottom w:val="0"/>
                                  <w:divBdr>
                                    <w:top w:val="none" w:sz="0" w:space="0" w:color="auto"/>
                                    <w:left w:val="none" w:sz="0" w:space="0" w:color="auto"/>
                                    <w:bottom w:val="none" w:sz="0" w:space="0" w:color="auto"/>
                                    <w:right w:val="none" w:sz="0" w:space="0" w:color="auto"/>
                                  </w:divBdr>
                                  <w:divsChild>
                                    <w:div w:id="1658147557">
                                      <w:marLeft w:val="0"/>
                                      <w:marRight w:val="0"/>
                                      <w:marTop w:val="0"/>
                                      <w:marBottom w:val="0"/>
                                      <w:divBdr>
                                        <w:top w:val="none" w:sz="0" w:space="0" w:color="auto"/>
                                        <w:left w:val="none" w:sz="0" w:space="0" w:color="auto"/>
                                        <w:bottom w:val="none" w:sz="0" w:space="0" w:color="auto"/>
                                        <w:right w:val="none" w:sz="0" w:space="0" w:color="auto"/>
                                      </w:divBdr>
                                      <w:divsChild>
                                        <w:div w:id="1361392529">
                                          <w:marLeft w:val="0"/>
                                          <w:marRight w:val="0"/>
                                          <w:marTop w:val="0"/>
                                          <w:marBottom w:val="0"/>
                                          <w:divBdr>
                                            <w:top w:val="none" w:sz="0" w:space="0" w:color="auto"/>
                                            <w:left w:val="none" w:sz="0" w:space="0" w:color="auto"/>
                                            <w:bottom w:val="none" w:sz="0" w:space="0" w:color="auto"/>
                                            <w:right w:val="none" w:sz="0" w:space="0" w:color="auto"/>
                                          </w:divBdr>
                                          <w:divsChild>
                                            <w:div w:id="322780456">
                                              <w:marLeft w:val="0"/>
                                              <w:marRight w:val="0"/>
                                              <w:marTop w:val="0"/>
                                              <w:marBottom w:val="0"/>
                                              <w:divBdr>
                                                <w:top w:val="none" w:sz="0" w:space="0" w:color="auto"/>
                                                <w:left w:val="none" w:sz="0" w:space="0" w:color="auto"/>
                                                <w:bottom w:val="none" w:sz="0" w:space="0" w:color="auto"/>
                                                <w:right w:val="none" w:sz="0" w:space="0" w:color="auto"/>
                                              </w:divBdr>
                                              <w:divsChild>
                                                <w:div w:id="1640260225">
                                                  <w:marLeft w:val="0"/>
                                                  <w:marRight w:val="0"/>
                                                  <w:marTop w:val="0"/>
                                                  <w:marBottom w:val="0"/>
                                                  <w:divBdr>
                                                    <w:top w:val="none" w:sz="0" w:space="0" w:color="auto"/>
                                                    <w:left w:val="none" w:sz="0" w:space="0" w:color="auto"/>
                                                    <w:bottom w:val="none" w:sz="0" w:space="0" w:color="auto"/>
                                                    <w:right w:val="none" w:sz="0" w:space="0" w:color="auto"/>
                                                  </w:divBdr>
                                                  <w:divsChild>
                                                    <w:div w:id="601760132">
                                                      <w:marLeft w:val="0"/>
                                                      <w:marRight w:val="0"/>
                                                      <w:marTop w:val="0"/>
                                                      <w:marBottom w:val="0"/>
                                                      <w:divBdr>
                                                        <w:top w:val="none" w:sz="0" w:space="0" w:color="auto"/>
                                                        <w:left w:val="none" w:sz="0" w:space="0" w:color="auto"/>
                                                        <w:bottom w:val="none" w:sz="0" w:space="0" w:color="auto"/>
                                                        <w:right w:val="none" w:sz="0" w:space="0" w:color="auto"/>
                                                      </w:divBdr>
                                                      <w:divsChild>
                                                        <w:div w:id="5492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2096055">
      <w:bodyDiv w:val="1"/>
      <w:marLeft w:val="0"/>
      <w:marRight w:val="0"/>
      <w:marTop w:val="0"/>
      <w:marBottom w:val="0"/>
      <w:divBdr>
        <w:top w:val="none" w:sz="0" w:space="0" w:color="auto"/>
        <w:left w:val="none" w:sz="0" w:space="0" w:color="auto"/>
        <w:bottom w:val="none" w:sz="0" w:space="0" w:color="auto"/>
        <w:right w:val="none" w:sz="0" w:space="0" w:color="auto"/>
      </w:divBdr>
      <w:divsChild>
        <w:div w:id="538277200">
          <w:marLeft w:val="0"/>
          <w:marRight w:val="0"/>
          <w:marTop w:val="0"/>
          <w:marBottom w:val="0"/>
          <w:divBdr>
            <w:top w:val="none" w:sz="0" w:space="0" w:color="auto"/>
            <w:left w:val="none" w:sz="0" w:space="0" w:color="auto"/>
            <w:bottom w:val="none" w:sz="0" w:space="0" w:color="auto"/>
            <w:right w:val="none" w:sz="0" w:space="0" w:color="auto"/>
          </w:divBdr>
          <w:divsChild>
            <w:div w:id="1860317849">
              <w:marLeft w:val="0"/>
              <w:marRight w:val="0"/>
              <w:marTop w:val="0"/>
              <w:marBottom w:val="0"/>
              <w:divBdr>
                <w:top w:val="none" w:sz="0" w:space="0" w:color="auto"/>
                <w:left w:val="none" w:sz="0" w:space="0" w:color="auto"/>
                <w:bottom w:val="none" w:sz="0" w:space="0" w:color="auto"/>
                <w:right w:val="none" w:sz="0" w:space="0" w:color="auto"/>
              </w:divBdr>
              <w:divsChild>
                <w:div w:id="1796825418">
                  <w:marLeft w:val="0"/>
                  <w:marRight w:val="0"/>
                  <w:marTop w:val="0"/>
                  <w:marBottom w:val="0"/>
                  <w:divBdr>
                    <w:top w:val="none" w:sz="0" w:space="0" w:color="auto"/>
                    <w:left w:val="none" w:sz="0" w:space="0" w:color="auto"/>
                    <w:bottom w:val="none" w:sz="0" w:space="0" w:color="auto"/>
                    <w:right w:val="none" w:sz="0" w:space="0" w:color="auto"/>
                  </w:divBdr>
                  <w:divsChild>
                    <w:div w:id="1458525112">
                      <w:marLeft w:val="150"/>
                      <w:marRight w:val="150"/>
                      <w:marTop w:val="0"/>
                      <w:marBottom w:val="0"/>
                      <w:divBdr>
                        <w:top w:val="none" w:sz="0" w:space="0" w:color="auto"/>
                        <w:left w:val="none" w:sz="0" w:space="0" w:color="auto"/>
                        <w:bottom w:val="none" w:sz="0" w:space="0" w:color="auto"/>
                        <w:right w:val="none" w:sz="0" w:space="0" w:color="auto"/>
                      </w:divBdr>
                      <w:divsChild>
                        <w:div w:id="1233125738">
                          <w:marLeft w:val="0"/>
                          <w:marRight w:val="0"/>
                          <w:marTop w:val="0"/>
                          <w:marBottom w:val="0"/>
                          <w:divBdr>
                            <w:top w:val="none" w:sz="0" w:space="0" w:color="auto"/>
                            <w:left w:val="none" w:sz="0" w:space="0" w:color="auto"/>
                            <w:bottom w:val="none" w:sz="0" w:space="0" w:color="auto"/>
                            <w:right w:val="none" w:sz="0" w:space="0" w:color="auto"/>
                          </w:divBdr>
                          <w:divsChild>
                            <w:div w:id="1599093839">
                              <w:marLeft w:val="0"/>
                              <w:marRight w:val="0"/>
                              <w:marTop w:val="0"/>
                              <w:marBottom w:val="0"/>
                              <w:divBdr>
                                <w:top w:val="none" w:sz="0" w:space="0" w:color="auto"/>
                                <w:left w:val="none" w:sz="0" w:space="0" w:color="auto"/>
                                <w:bottom w:val="none" w:sz="0" w:space="0" w:color="auto"/>
                                <w:right w:val="none" w:sz="0" w:space="0" w:color="auto"/>
                              </w:divBdr>
                              <w:divsChild>
                                <w:div w:id="1010566931">
                                  <w:marLeft w:val="0"/>
                                  <w:marRight w:val="0"/>
                                  <w:marTop w:val="0"/>
                                  <w:marBottom w:val="0"/>
                                  <w:divBdr>
                                    <w:top w:val="none" w:sz="0" w:space="0" w:color="auto"/>
                                    <w:left w:val="none" w:sz="0" w:space="0" w:color="auto"/>
                                    <w:bottom w:val="none" w:sz="0" w:space="0" w:color="auto"/>
                                    <w:right w:val="none" w:sz="0" w:space="0" w:color="auto"/>
                                  </w:divBdr>
                                  <w:divsChild>
                                    <w:div w:id="293144561">
                                      <w:marLeft w:val="0"/>
                                      <w:marRight w:val="0"/>
                                      <w:marTop w:val="0"/>
                                      <w:marBottom w:val="0"/>
                                      <w:divBdr>
                                        <w:top w:val="none" w:sz="0" w:space="0" w:color="auto"/>
                                        <w:left w:val="none" w:sz="0" w:space="0" w:color="auto"/>
                                        <w:bottom w:val="none" w:sz="0" w:space="0" w:color="auto"/>
                                        <w:right w:val="none" w:sz="0" w:space="0" w:color="auto"/>
                                      </w:divBdr>
                                      <w:divsChild>
                                        <w:div w:id="579021480">
                                          <w:marLeft w:val="0"/>
                                          <w:marRight w:val="0"/>
                                          <w:marTop w:val="0"/>
                                          <w:marBottom w:val="0"/>
                                          <w:divBdr>
                                            <w:top w:val="none" w:sz="0" w:space="0" w:color="auto"/>
                                            <w:left w:val="none" w:sz="0" w:space="0" w:color="auto"/>
                                            <w:bottom w:val="none" w:sz="0" w:space="0" w:color="auto"/>
                                            <w:right w:val="none" w:sz="0" w:space="0" w:color="auto"/>
                                          </w:divBdr>
                                          <w:divsChild>
                                            <w:div w:id="314723828">
                                              <w:marLeft w:val="0"/>
                                              <w:marRight w:val="0"/>
                                              <w:marTop w:val="0"/>
                                              <w:marBottom w:val="0"/>
                                              <w:divBdr>
                                                <w:top w:val="none" w:sz="0" w:space="0" w:color="auto"/>
                                                <w:left w:val="none" w:sz="0" w:space="0" w:color="auto"/>
                                                <w:bottom w:val="none" w:sz="0" w:space="0" w:color="auto"/>
                                                <w:right w:val="none" w:sz="0" w:space="0" w:color="auto"/>
                                              </w:divBdr>
                                              <w:divsChild>
                                                <w:div w:id="853346732">
                                                  <w:marLeft w:val="0"/>
                                                  <w:marRight w:val="0"/>
                                                  <w:marTop w:val="0"/>
                                                  <w:marBottom w:val="0"/>
                                                  <w:divBdr>
                                                    <w:top w:val="none" w:sz="0" w:space="0" w:color="auto"/>
                                                    <w:left w:val="none" w:sz="0" w:space="0" w:color="auto"/>
                                                    <w:bottom w:val="none" w:sz="0" w:space="0" w:color="auto"/>
                                                    <w:right w:val="none" w:sz="0" w:space="0" w:color="auto"/>
                                                  </w:divBdr>
                                                  <w:divsChild>
                                                    <w:div w:id="829978750">
                                                      <w:marLeft w:val="0"/>
                                                      <w:marRight w:val="0"/>
                                                      <w:marTop w:val="0"/>
                                                      <w:marBottom w:val="0"/>
                                                      <w:divBdr>
                                                        <w:top w:val="none" w:sz="0" w:space="0" w:color="auto"/>
                                                        <w:left w:val="none" w:sz="0" w:space="0" w:color="auto"/>
                                                        <w:bottom w:val="none" w:sz="0" w:space="0" w:color="auto"/>
                                                        <w:right w:val="none" w:sz="0" w:space="0" w:color="auto"/>
                                                      </w:divBdr>
                                                      <w:divsChild>
                                                        <w:div w:id="16260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2557980">
      <w:bodyDiv w:val="1"/>
      <w:marLeft w:val="0"/>
      <w:marRight w:val="0"/>
      <w:marTop w:val="0"/>
      <w:marBottom w:val="0"/>
      <w:divBdr>
        <w:top w:val="none" w:sz="0" w:space="0" w:color="auto"/>
        <w:left w:val="none" w:sz="0" w:space="0" w:color="auto"/>
        <w:bottom w:val="none" w:sz="0" w:space="0" w:color="auto"/>
        <w:right w:val="none" w:sz="0" w:space="0" w:color="auto"/>
      </w:divBdr>
    </w:div>
    <w:div w:id="845245656">
      <w:bodyDiv w:val="1"/>
      <w:marLeft w:val="0"/>
      <w:marRight w:val="0"/>
      <w:marTop w:val="0"/>
      <w:marBottom w:val="0"/>
      <w:divBdr>
        <w:top w:val="none" w:sz="0" w:space="0" w:color="auto"/>
        <w:left w:val="none" w:sz="0" w:space="0" w:color="auto"/>
        <w:bottom w:val="none" w:sz="0" w:space="0" w:color="auto"/>
        <w:right w:val="none" w:sz="0" w:space="0" w:color="auto"/>
      </w:divBdr>
    </w:div>
    <w:div w:id="898367767">
      <w:bodyDiv w:val="1"/>
      <w:marLeft w:val="0"/>
      <w:marRight w:val="0"/>
      <w:marTop w:val="0"/>
      <w:marBottom w:val="0"/>
      <w:divBdr>
        <w:top w:val="none" w:sz="0" w:space="0" w:color="auto"/>
        <w:left w:val="none" w:sz="0" w:space="0" w:color="auto"/>
        <w:bottom w:val="none" w:sz="0" w:space="0" w:color="auto"/>
        <w:right w:val="none" w:sz="0" w:space="0" w:color="auto"/>
      </w:divBdr>
    </w:div>
    <w:div w:id="940988917">
      <w:bodyDiv w:val="1"/>
      <w:marLeft w:val="0"/>
      <w:marRight w:val="0"/>
      <w:marTop w:val="0"/>
      <w:marBottom w:val="0"/>
      <w:divBdr>
        <w:top w:val="none" w:sz="0" w:space="0" w:color="auto"/>
        <w:left w:val="none" w:sz="0" w:space="0" w:color="auto"/>
        <w:bottom w:val="none" w:sz="0" w:space="0" w:color="auto"/>
        <w:right w:val="none" w:sz="0" w:space="0" w:color="auto"/>
      </w:divBdr>
      <w:divsChild>
        <w:div w:id="1702707683">
          <w:marLeft w:val="0"/>
          <w:marRight w:val="0"/>
          <w:marTop w:val="0"/>
          <w:marBottom w:val="0"/>
          <w:divBdr>
            <w:top w:val="none" w:sz="0" w:space="0" w:color="auto"/>
            <w:left w:val="none" w:sz="0" w:space="0" w:color="auto"/>
            <w:bottom w:val="none" w:sz="0" w:space="0" w:color="auto"/>
            <w:right w:val="none" w:sz="0" w:space="0" w:color="auto"/>
          </w:divBdr>
          <w:divsChild>
            <w:div w:id="530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0230">
      <w:bodyDiv w:val="1"/>
      <w:marLeft w:val="0"/>
      <w:marRight w:val="0"/>
      <w:marTop w:val="0"/>
      <w:marBottom w:val="0"/>
      <w:divBdr>
        <w:top w:val="none" w:sz="0" w:space="0" w:color="auto"/>
        <w:left w:val="none" w:sz="0" w:space="0" w:color="auto"/>
        <w:bottom w:val="none" w:sz="0" w:space="0" w:color="auto"/>
        <w:right w:val="none" w:sz="0" w:space="0" w:color="auto"/>
      </w:divBdr>
      <w:divsChild>
        <w:div w:id="142284700">
          <w:marLeft w:val="0"/>
          <w:marRight w:val="0"/>
          <w:marTop w:val="0"/>
          <w:marBottom w:val="0"/>
          <w:divBdr>
            <w:top w:val="none" w:sz="0" w:space="0" w:color="auto"/>
            <w:left w:val="none" w:sz="0" w:space="0" w:color="auto"/>
            <w:bottom w:val="none" w:sz="0" w:space="0" w:color="auto"/>
            <w:right w:val="none" w:sz="0" w:space="0" w:color="auto"/>
          </w:divBdr>
          <w:divsChild>
            <w:div w:id="12757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0864">
      <w:bodyDiv w:val="1"/>
      <w:marLeft w:val="0"/>
      <w:marRight w:val="0"/>
      <w:marTop w:val="0"/>
      <w:marBottom w:val="0"/>
      <w:divBdr>
        <w:top w:val="none" w:sz="0" w:space="0" w:color="auto"/>
        <w:left w:val="none" w:sz="0" w:space="0" w:color="auto"/>
        <w:bottom w:val="none" w:sz="0" w:space="0" w:color="auto"/>
        <w:right w:val="none" w:sz="0" w:space="0" w:color="auto"/>
      </w:divBdr>
    </w:div>
    <w:div w:id="1081683536">
      <w:bodyDiv w:val="1"/>
      <w:marLeft w:val="0"/>
      <w:marRight w:val="0"/>
      <w:marTop w:val="0"/>
      <w:marBottom w:val="0"/>
      <w:divBdr>
        <w:top w:val="none" w:sz="0" w:space="0" w:color="auto"/>
        <w:left w:val="none" w:sz="0" w:space="0" w:color="auto"/>
        <w:bottom w:val="none" w:sz="0" w:space="0" w:color="auto"/>
        <w:right w:val="none" w:sz="0" w:space="0" w:color="auto"/>
      </w:divBdr>
      <w:divsChild>
        <w:div w:id="708337535">
          <w:marLeft w:val="0"/>
          <w:marRight w:val="0"/>
          <w:marTop w:val="0"/>
          <w:marBottom w:val="0"/>
          <w:divBdr>
            <w:top w:val="none" w:sz="0" w:space="0" w:color="auto"/>
            <w:left w:val="none" w:sz="0" w:space="0" w:color="auto"/>
            <w:bottom w:val="none" w:sz="0" w:space="0" w:color="auto"/>
            <w:right w:val="none" w:sz="0" w:space="0" w:color="auto"/>
          </w:divBdr>
          <w:divsChild>
            <w:div w:id="1237668290">
              <w:marLeft w:val="0"/>
              <w:marRight w:val="0"/>
              <w:marTop w:val="0"/>
              <w:marBottom w:val="0"/>
              <w:divBdr>
                <w:top w:val="none" w:sz="0" w:space="0" w:color="auto"/>
                <w:left w:val="none" w:sz="0" w:space="0" w:color="auto"/>
                <w:bottom w:val="none" w:sz="0" w:space="0" w:color="auto"/>
                <w:right w:val="none" w:sz="0" w:space="0" w:color="auto"/>
              </w:divBdr>
              <w:divsChild>
                <w:div w:id="485711126">
                  <w:marLeft w:val="0"/>
                  <w:marRight w:val="0"/>
                  <w:marTop w:val="0"/>
                  <w:marBottom w:val="0"/>
                  <w:divBdr>
                    <w:top w:val="none" w:sz="0" w:space="0" w:color="auto"/>
                    <w:left w:val="none" w:sz="0" w:space="0" w:color="auto"/>
                    <w:bottom w:val="none" w:sz="0" w:space="0" w:color="auto"/>
                    <w:right w:val="none" w:sz="0" w:space="0" w:color="auto"/>
                  </w:divBdr>
                  <w:divsChild>
                    <w:div w:id="607125611">
                      <w:marLeft w:val="150"/>
                      <w:marRight w:val="150"/>
                      <w:marTop w:val="0"/>
                      <w:marBottom w:val="0"/>
                      <w:divBdr>
                        <w:top w:val="none" w:sz="0" w:space="0" w:color="auto"/>
                        <w:left w:val="none" w:sz="0" w:space="0" w:color="auto"/>
                        <w:bottom w:val="none" w:sz="0" w:space="0" w:color="auto"/>
                        <w:right w:val="none" w:sz="0" w:space="0" w:color="auto"/>
                      </w:divBdr>
                      <w:divsChild>
                        <w:div w:id="584916758">
                          <w:marLeft w:val="0"/>
                          <w:marRight w:val="0"/>
                          <w:marTop w:val="0"/>
                          <w:marBottom w:val="0"/>
                          <w:divBdr>
                            <w:top w:val="none" w:sz="0" w:space="0" w:color="auto"/>
                            <w:left w:val="none" w:sz="0" w:space="0" w:color="auto"/>
                            <w:bottom w:val="none" w:sz="0" w:space="0" w:color="auto"/>
                            <w:right w:val="none" w:sz="0" w:space="0" w:color="auto"/>
                          </w:divBdr>
                          <w:divsChild>
                            <w:div w:id="871845554">
                              <w:marLeft w:val="0"/>
                              <w:marRight w:val="0"/>
                              <w:marTop w:val="0"/>
                              <w:marBottom w:val="0"/>
                              <w:divBdr>
                                <w:top w:val="none" w:sz="0" w:space="0" w:color="auto"/>
                                <w:left w:val="none" w:sz="0" w:space="0" w:color="auto"/>
                                <w:bottom w:val="none" w:sz="0" w:space="0" w:color="auto"/>
                                <w:right w:val="none" w:sz="0" w:space="0" w:color="auto"/>
                              </w:divBdr>
                              <w:divsChild>
                                <w:div w:id="1268738704">
                                  <w:marLeft w:val="0"/>
                                  <w:marRight w:val="0"/>
                                  <w:marTop w:val="0"/>
                                  <w:marBottom w:val="0"/>
                                  <w:divBdr>
                                    <w:top w:val="none" w:sz="0" w:space="0" w:color="auto"/>
                                    <w:left w:val="none" w:sz="0" w:space="0" w:color="auto"/>
                                    <w:bottom w:val="none" w:sz="0" w:space="0" w:color="auto"/>
                                    <w:right w:val="none" w:sz="0" w:space="0" w:color="auto"/>
                                  </w:divBdr>
                                  <w:divsChild>
                                    <w:div w:id="1527980139">
                                      <w:marLeft w:val="0"/>
                                      <w:marRight w:val="0"/>
                                      <w:marTop w:val="0"/>
                                      <w:marBottom w:val="0"/>
                                      <w:divBdr>
                                        <w:top w:val="none" w:sz="0" w:space="0" w:color="auto"/>
                                        <w:left w:val="none" w:sz="0" w:space="0" w:color="auto"/>
                                        <w:bottom w:val="none" w:sz="0" w:space="0" w:color="auto"/>
                                        <w:right w:val="none" w:sz="0" w:space="0" w:color="auto"/>
                                      </w:divBdr>
                                      <w:divsChild>
                                        <w:div w:id="832137432">
                                          <w:marLeft w:val="0"/>
                                          <w:marRight w:val="0"/>
                                          <w:marTop w:val="0"/>
                                          <w:marBottom w:val="0"/>
                                          <w:divBdr>
                                            <w:top w:val="none" w:sz="0" w:space="0" w:color="auto"/>
                                            <w:left w:val="none" w:sz="0" w:space="0" w:color="auto"/>
                                            <w:bottom w:val="none" w:sz="0" w:space="0" w:color="auto"/>
                                            <w:right w:val="none" w:sz="0" w:space="0" w:color="auto"/>
                                          </w:divBdr>
                                          <w:divsChild>
                                            <w:div w:id="1572809325">
                                              <w:marLeft w:val="0"/>
                                              <w:marRight w:val="0"/>
                                              <w:marTop w:val="0"/>
                                              <w:marBottom w:val="0"/>
                                              <w:divBdr>
                                                <w:top w:val="none" w:sz="0" w:space="0" w:color="auto"/>
                                                <w:left w:val="none" w:sz="0" w:space="0" w:color="auto"/>
                                                <w:bottom w:val="none" w:sz="0" w:space="0" w:color="auto"/>
                                                <w:right w:val="none" w:sz="0" w:space="0" w:color="auto"/>
                                              </w:divBdr>
                                              <w:divsChild>
                                                <w:div w:id="701589380">
                                                  <w:marLeft w:val="0"/>
                                                  <w:marRight w:val="0"/>
                                                  <w:marTop w:val="0"/>
                                                  <w:marBottom w:val="0"/>
                                                  <w:divBdr>
                                                    <w:top w:val="none" w:sz="0" w:space="0" w:color="auto"/>
                                                    <w:left w:val="none" w:sz="0" w:space="0" w:color="auto"/>
                                                    <w:bottom w:val="none" w:sz="0" w:space="0" w:color="auto"/>
                                                    <w:right w:val="none" w:sz="0" w:space="0" w:color="auto"/>
                                                  </w:divBdr>
                                                  <w:divsChild>
                                                    <w:div w:id="1490173997">
                                                      <w:marLeft w:val="0"/>
                                                      <w:marRight w:val="0"/>
                                                      <w:marTop w:val="0"/>
                                                      <w:marBottom w:val="0"/>
                                                      <w:divBdr>
                                                        <w:top w:val="none" w:sz="0" w:space="0" w:color="auto"/>
                                                        <w:left w:val="none" w:sz="0" w:space="0" w:color="auto"/>
                                                        <w:bottom w:val="none" w:sz="0" w:space="0" w:color="auto"/>
                                                        <w:right w:val="none" w:sz="0" w:space="0" w:color="auto"/>
                                                      </w:divBdr>
                                                      <w:divsChild>
                                                        <w:div w:id="7499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0064562">
      <w:bodyDiv w:val="1"/>
      <w:marLeft w:val="0"/>
      <w:marRight w:val="0"/>
      <w:marTop w:val="0"/>
      <w:marBottom w:val="0"/>
      <w:divBdr>
        <w:top w:val="none" w:sz="0" w:space="0" w:color="auto"/>
        <w:left w:val="none" w:sz="0" w:space="0" w:color="auto"/>
        <w:bottom w:val="none" w:sz="0" w:space="0" w:color="auto"/>
        <w:right w:val="none" w:sz="0" w:space="0" w:color="auto"/>
      </w:divBdr>
    </w:div>
    <w:div w:id="1342660130">
      <w:bodyDiv w:val="1"/>
      <w:marLeft w:val="0"/>
      <w:marRight w:val="0"/>
      <w:marTop w:val="0"/>
      <w:marBottom w:val="0"/>
      <w:divBdr>
        <w:top w:val="none" w:sz="0" w:space="0" w:color="auto"/>
        <w:left w:val="none" w:sz="0" w:space="0" w:color="auto"/>
        <w:bottom w:val="none" w:sz="0" w:space="0" w:color="auto"/>
        <w:right w:val="none" w:sz="0" w:space="0" w:color="auto"/>
      </w:divBdr>
    </w:div>
    <w:div w:id="1355039787">
      <w:bodyDiv w:val="1"/>
      <w:marLeft w:val="0"/>
      <w:marRight w:val="0"/>
      <w:marTop w:val="0"/>
      <w:marBottom w:val="0"/>
      <w:divBdr>
        <w:top w:val="none" w:sz="0" w:space="0" w:color="auto"/>
        <w:left w:val="none" w:sz="0" w:space="0" w:color="auto"/>
        <w:bottom w:val="none" w:sz="0" w:space="0" w:color="auto"/>
        <w:right w:val="none" w:sz="0" w:space="0" w:color="auto"/>
      </w:divBdr>
    </w:div>
    <w:div w:id="1422410848">
      <w:bodyDiv w:val="1"/>
      <w:marLeft w:val="0"/>
      <w:marRight w:val="0"/>
      <w:marTop w:val="0"/>
      <w:marBottom w:val="0"/>
      <w:divBdr>
        <w:top w:val="none" w:sz="0" w:space="0" w:color="auto"/>
        <w:left w:val="none" w:sz="0" w:space="0" w:color="auto"/>
        <w:bottom w:val="none" w:sz="0" w:space="0" w:color="auto"/>
        <w:right w:val="none" w:sz="0" w:space="0" w:color="auto"/>
      </w:divBdr>
    </w:div>
    <w:div w:id="1578710640">
      <w:bodyDiv w:val="1"/>
      <w:marLeft w:val="0"/>
      <w:marRight w:val="0"/>
      <w:marTop w:val="0"/>
      <w:marBottom w:val="0"/>
      <w:divBdr>
        <w:top w:val="none" w:sz="0" w:space="0" w:color="auto"/>
        <w:left w:val="none" w:sz="0" w:space="0" w:color="auto"/>
        <w:bottom w:val="none" w:sz="0" w:space="0" w:color="auto"/>
        <w:right w:val="none" w:sz="0" w:space="0" w:color="auto"/>
      </w:divBdr>
    </w:div>
    <w:div w:id="1636642437">
      <w:bodyDiv w:val="1"/>
      <w:marLeft w:val="0"/>
      <w:marRight w:val="0"/>
      <w:marTop w:val="0"/>
      <w:marBottom w:val="0"/>
      <w:divBdr>
        <w:top w:val="none" w:sz="0" w:space="0" w:color="auto"/>
        <w:left w:val="none" w:sz="0" w:space="0" w:color="auto"/>
        <w:bottom w:val="none" w:sz="0" w:space="0" w:color="auto"/>
        <w:right w:val="none" w:sz="0" w:space="0" w:color="auto"/>
      </w:divBdr>
      <w:divsChild>
        <w:div w:id="2082174747">
          <w:marLeft w:val="0"/>
          <w:marRight w:val="0"/>
          <w:marTop w:val="0"/>
          <w:marBottom w:val="0"/>
          <w:divBdr>
            <w:top w:val="none" w:sz="0" w:space="0" w:color="auto"/>
            <w:left w:val="none" w:sz="0" w:space="0" w:color="auto"/>
            <w:bottom w:val="none" w:sz="0" w:space="0" w:color="auto"/>
            <w:right w:val="none" w:sz="0" w:space="0" w:color="auto"/>
          </w:divBdr>
          <w:divsChild>
            <w:div w:id="1103653098">
              <w:marLeft w:val="0"/>
              <w:marRight w:val="0"/>
              <w:marTop w:val="0"/>
              <w:marBottom w:val="0"/>
              <w:divBdr>
                <w:top w:val="none" w:sz="0" w:space="0" w:color="auto"/>
                <w:left w:val="none" w:sz="0" w:space="0" w:color="auto"/>
                <w:bottom w:val="none" w:sz="0" w:space="0" w:color="auto"/>
                <w:right w:val="none" w:sz="0" w:space="0" w:color="auto"/>
              </w:divBdr>
              <w:divsChild>
                <w:div w:id="248776009">
                  <w:marLeft w:val="0"/>
                  <w:marRight w:val="0"/>
                  <w:marTop w:val="0"/>
                  <w:marBottom w:val="0"/>
                  <w:divBdr>
                    <w:top w:val="none" w:sz="0" w:space="0" w:color="auto"/>
                    <w:left w:val="none" w:sz="0" w:space="0" w:color="auto"/>
                    <w:bottom w:val="none" w:sz="0" w:space="0" w:color="auto"/>
                    <w:right w:val="none" w:sz="0" w:space="0" w:color="auto"/>
                  </w:divBdr>
                  <w:divsChild>
                    <w:div w:id="160896295">
                      <w:marLeft w:val="150"/>
                      <w:marRight w:val="150"/>
                      <w:marTop w:val="0"/>
                      <w:marBottom w:val="0"/>
                      <w:divBdr>
                        <w:top w:val="none" w:sz="0" w:space="0" w:color="auto"/>
                        <w:left w:val="none" w:sz="0" w:space="0" w:color="auto"/>
                        <w:bottom w:val="none" w:sz="0" w:space="0" w:color="auto"/>
                        <w:right w:val="none" w:sz="0" w:space="0" w:color="auto"/>
                      </w:divBdr>
                      <w:divsChild>
                        <w:div w:id="1795099102">
                          <w:marLeft w:val="0"/>
                          <w:marRight w:val="0"/>
                          <w:marTop w:val="0"/>
                          <w:marBottom w:val="0"/>
                          <w:divBdr>
                            <w:top w:val="none" w:sz="0" w:space="0" w:color="auto"/>
                            <w:left w:val="none" w:sz="0" w:space="0" w:color="auto"/>
                            <w:bottom w:val="none" w:sz="0" w:space="0" w:color="auto"/>
                            <w:right w:val="none" w:sz="0" w:space="0" w:color="auto"/>
                          </w:divBdr>
                          <w:divsChild>
                            <w:div w:id="1490170206">
                              <w:marLeft w:val="0"/>
                              <w:marRight w:val="0"/>
                              <w:marTop w:val="0"/>
                              <w:marBottom w:val="0"/>
                              <w:divBdr>
                                <w:top w:val="none" w:sz="0" w:space="0" w:color="auto"/>
                                <w:left w:val="none" w:sz="0" w:space="0" w:color="auto"/>
                                <w:bottom w:val="none" w:sz="0" w:space="0" w:color="auto"/>
                                <w:right w:val="none" w:sz="0" w:space="0" w:color="auto"/>
                              </w:divBdr>
                              <w:divsChild>
                                <w:div w:id="1211846724">
                                  <w:marLeft w:val="0"/>
                                  <w:marRight w:val="0"/>
                                  <w:marTop w:val="0"/>
                                  <w:marBottom w:val="0"/>
                                  <w:divBdr>
                                    <w:top w:val="none" w:sz="0" w:space="0" w:color="auto"/>
                                    <w:left w:val="none" w:sz="0" w:space="0" w:color="auto"/>
                                    <w:bottom w:val="none" w:sz="0" w:space="0" w:color="auto"/>
                                    <w:right w:val="none" w:sz="0" w:space="0" w:color="auto"/>
                                  </w:divBdr>
                                  <w:divsChild>
                                    <w:div w:id="1047291393">
                                      <w:marLeft w:val="0"/>
                                      <w:marRight w:val="0"/>
                                      <w:marTop w:val="0"/>
                                      <w:marBottom w:val="0"/>
                                      <w:divBdr>
                                        <w:top w:val="none" w:sz="0" w:space="0" w:color="auto"/>
                                        <w:left w:val="none" w:sz="0" w:space="0" w:color="auto"/>
                                        <w:bottom w:val="none" w:sz="0" w:space="0" w:color="auto"/>
                                        <w:right w:val="none" w:sz="0" w:space="0" w:color="auto"/>
                                      </w:divBdr>
                                      <w:divsChild>
                                        <w:div w:id="573973391">
                                          <w:marLeft w:val="0"/>
                                          <w:marRight w:val="0"/>
                                          <w:marTop w:val="0"/>
                                          <w:marBottom w:val="0"/>
                                          <w:divBdr>
                                            <w:top w:val="none" w:sz="0" w:space="0" w:color="auto"/>
                                            <w:left w:val="none" w:sz="0" w:space="0" w:color="auto"/>
                                            <w:bottom w:val="none" w:sz="0" w:space="0" w:color="auto"/>
                                            <w:right w:val="none" w:sz="0" w:space="0" w:color="auto"/>
                                          </w:divBdr>
                                          <w:divsChild>
                                            <w:div w:id="1984889286">
                                              <w:marLeft w:val="0"/>
                                              <w:marRight w:val="0"/>
                                              <w:marTop w:val="0"/>
                                              <w:marBottom w:val="0"/>
                                              <w:divBdr>
                                                <w:top w:val="none" w:sz="0" w:space="0" w:color="auto"/>
                                                <w:left w:val="none" w:sz="0" w:space="0" w:color="auto"/>
                                                <w:bottom w:val="none" w:sz="0" w:space="0" w:color="auto"/>
                                                <w:right w:val="none" w:sz="0" w:space="0" w:color="auto"/>
                                              </w:divBdr>
                                              <w:divsChild>
                                                <w:div w:id="1746798105">
                                                  <w:marLeft w:val="0"/>
                                                  <w:marRight w:val="0"/>
                                                  <w:marTop w:val="0"/>
                                                  <w:marBottom w:val="0"/>
                                                  <w:divBdr>
                                                    <w:top w:val="none" w:sz="0" w:space="0" w:color="auto"/>
                                                    <w:left w:val="none" w:sz="0" w:space="0" w:color="auto"/>
                                                    <w:bottom w:val="none" w:sz="0" w:space="0" w:color="auto"/>
                                                    <w:right w:val="none" w:sz="0" w:space="0" w:color="auto"/>
                                                  </w:divBdr>
                                                  <w:divsChild>
                                                    <w:div w:id="266547740">
                                                      <w:marLeft w:val="0"/>
                                                      <w:marRight w:val="0"/>
                                                      <w:marTop w:val="0"/>
                                                      <w:marBottom w:val="0"/>
                                                      <w:divBdr>
                                                        <w:top w:val="none" w:sz="0" w:space="0" w:color="auto"/>
                                                        <w:left w:val="none" w:sz="0" w:space="0" w:color="auto"/>
                                                        <w:bottom w:val="none" w:sz="0" w:space="0" w:color="auto"/>
                                                        <w:right w:val="none" w:sz="0" w:space="0" w:color="auto"/>
                                                      </w:divBdr>
                                                      <w:divsChild>
                                                        <w:div w:id="15751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0633963">
      <w:bodyDiv w:val="1"/>
      <w:marLeft w:val="0"/>
      <w:marRight w:val="0"/>
      <w:marTop w:val="0"/>
      <w:marBottom w:val="0"/>
      <w:divBdr>
        <w:top w:val="none" w:sz="0" w:space="0" w:color="auto"/>
        <w:left w:val="none" w:sz="0" w:space="0" w:color="auto"/>
        <w:bottom w:val="none" w:sz="0" w:space="0" w:color="auto"/>
        <w:right w:val="none" w:sz="0" w:space="0" w:color="auto"/>
      </w:divBdr>
    </w:div>
    <w:div w:id="1851288663">
      <w:bodyDiv w:val="1"/>
      <w:marLeft w:val="0"/>
      <w:marRight w:val="0"/>
      <w:marTop w:val="0"/>
      <w:marBottom w:val="0"/>
      <w:divBdr>
        <w:top w:val="none" w:sz="0" w:space="0" w:color="auto"/>
        <w:left w:val="none" w:sz="0" w:space="0" w:color="auto"/>
        <w:bottom w:val="none" w:sz="0" w:space="0" w:color="auto"/>
        <w:right w:val="none" w:sz="0" w:space="0" w:color="auto"/>
      </w:divBdr>
    </w:div>
    <w:div w:id="1872763078">
      <w:bodyDiv w:val="1"/>
      <w:marLeft w:val="0"/>
      <w:marRight w:val="0"/>
      <w:marTop w:val="0"/>
      <w:marBottom w:val="0"/>
      <w:divBdr>
        <w:top w:val="none" w:sz="0" w:space="0" w:color="auto"/>
        <w:left w:val="none" w:sz="0" w:space="0" w:color="auto"/>
        <w:bottom w:val="none" w:sz="0" w:space="0" w:color="auto"/>
        <w:right w:val="none" w:sz="0" w:space="0" w:color="auto"/>
      </w:divBdr>
      <w:divsChild>
        <w:div w:id="669060950">
          <w:marLeft w:val="0"/>
          <w:marRight w:val="0"/>
          <w:marTop w:val="0"/>
          <w:marBottom w:val="0"/>
          <w:divBdr>
            <w:top w:val="none" w:sz="0" w:space="0" w:color="auto"/>
            <w:left w:val="none" w:sz="0" w:space="0" w:color="auto"/>
            <w:bottom w:val="none" w:sz="0" w:space="0" w:color="auto"/>
            <w:right w:val="none" w:sz="0" w:space="0" w:color="auto"/>
          </w:divBdr>
          <w:divsChild>
            <w:div w:id="1193495151">
              <w:marLeft w:val="0"/>
              <w:marRight w:val="0"/>
              <w:marTop w:val="0"/>
              <w:marBottom w:val="0"/>
              <w:divBdr>
                <w:top w:val="none" w:sz="0" w:space="0" w:color="auto"/>
                <w:left w:val="none" w:sz="0" w:space="0" w:color="auto"/>
                <w:bottom w:val="none" w:sz="0" w:space="0" w:color="auto"/>
                <w:right w:val="none" w:sz="0" w:space="0" w:color="auto"/>
              </w:divBdr>
              <w:divsChild>
                <w:div w:id="1692105929">
                  <w:marLeft w:val="0"/>
                  <w:marRight w:val="0"/>
                  <w:marTop w:val="0"/>
                  <w:marBottom w:val="0"/>
                  <w:divBdr>
                    <w:top w:val="none" w:sz="0" w:space="0" w:color="auto"/>
                    <w:left w:val="none" w:sz="0" w:space="0" w:color="auto"/>
                    <w:bottom w:val="none" w:sz="0" w:space="0" w:color="auto"/>
                    <w:right w:val="none" w:sz="0" w:space="0" w:color="auto"/>
                  </w:divBdr>
                  <w:divsChild>
                    <w:div w:id="493762076">
                      <w:marLeft w:val="150"/>
                      <w:marRight w:val="150"/>
                      <w:marTop w:val="0"/>
                      <w:marBottom w:val="0"/>
                      <w:divBdr>
                        <w:top w:val="none" w:sz="0" w:space="0" w:color="auto"/>
                        <w:left w:val="none" w:sz="0" w:space="0" w:color="auto"/>
                        <w:bottom w:val="none" w:sz="0" w:space="0" w:color="auto"/>
                        <w:right w:val="none" w:sz="0" w:space="0" w:color="auto"/>
                      </w:divBdr>
                      <w:divsChild>
                        <w:div w:id="531193650">
                          <w:marLeft w:val="0"/>
                          <w:marRight w:val="0"/>
                          <w:marTop w:val="0"/>
                          <w:marBottom w:val="0"/>
                          <w:divBdr>
                            <w:top w:val="none" w:sz="0" w:space="0" w:color="auto"/>
                            <w:left w:val="none" w:sz="0" w:space="0" w:color="auto"/>
                            <w:bottom w:val="none" w:sz="0" w:space="0" w:color="auto"/>
                            <w:right w:val="none" w:sz="0" w:space="0" w:color="auto"/>
                          </w:divBdr>
                          <w:divsChild>
                            <w:div w:id="1354646193">
                              <w:marLeft w:val="0"/>
                              <w:marRight w:val="0"/>
                              <w:marTop w:val="0"/>
                              <w:marBottom w:val="0"/>
                              <w:divBdr>
                                <w:top w:val="none" w:sz="0" w:space="0" w:color="auto"/>
                                <w:left w:val="none" w:sz="0" w:space="0" w:color="auto"/>
                                <w:bottom w:val="none" w:sz="0" w:space="0" w:color="auto"/>
                                <w:right w:val="none" w:sz="0" w:space="0" w:color="auto"/>
                              </w:divBdr>
                              <w:divsChild>
                                <w:div w:id="1863326313">
                                  <w:marLeft w:val="0"/>
                                  <w:marRight w:val="0"/>
                                  <w:marTop w:val="0"/>
                                  <w:marBottom w:val="0"/>
                                  <w:divBdr>
                                    <w:top w:val="none" w:sz="0" w:space="0" w:color="auto"/>
                                    <w:left w:val="none" w:sz="0" w:space="0" w:color="auto"/>
                                    <w:bottom w:val="none" w:sz="0" w:space="0" w:color="auto"/>
                                    <w:right w:val="none" w:sz="0" w:space="0" w:color="auto"/>
                                  </w:divBdr>
                                  <w:divsChild>
                                    <w:div w:id="1260288478">
                                      <w:marLeft w:val="0"/>
                                      <w:marRight w:val="0"/>
                                      <w:marTop w:val="0"/>
                                      <w:marBottom w:val="0"/>
                                      <w:divBdr>
                                        <w:top w:val="none" w:sz="0" w:space="0" w:color="auto"/>
                                        <w:left w:val="none" w:sz="0" w:space="0" w:color="auto"/>
                                        <w:bottom w:val="none" w:sz="0" w:space="0" w:color="auto"/>
                                        <w:right w:val="none" w:sz="0" w:space="0" w:color="auto"/>
                                      </w:divBdr>
                                      <w:divsChild>
                                        <w:div w:id="1567951151">
                                          <w:marLeft w:val="0"/>
                                          <w:marRight w:val="0"/>
                                          <w:marTop w:val="0"/>
                                          <w:marBottom w:val="0"/>
                                          <w:divBdr>
                                            <w:top w:val="none" w:sz="0" w:space="0" w:color="auto"/>
                                            <w:left w:val="none" w:sz="0" w:space="0" w:color="auto"/>
                                            <w:bottom w:val="none" w:sz="0" w:space="0" w:color="auto"/>
                                            <w:right w:val="none" w:sz="0" w:space="0" w:color="auto"/>
                                          </w:divBdr>
                                          <w:divsChild>
                                            <w:div w:id="168712607">
                                              <w:marLeft w:val="0"/>
                                              <w:marRight w:val="0"/>
                                              <w:marTop w:val="0"/>
                                              <w:marBottom w:val="0"/>
                                              <w:divBdr>
                                                <w:top w:val="none" w:sz="0" w:space="0" w:color="auto"/>
                                                <w:left w:val="none" w:sz="0" w:space="0" w:color="auto"/>
                                                <w:bottom w:val="none" w:sz="0" w:space="0" w:color="auto"/>
                                                <w:right w:val="none" w:sz="0" w:space="0" w:color="auto"/>
                                              </w:divBdr>
                                              <w:divsChild>
                                                <w:div w:id="1249457683">
                                                  <w:marLeft w:val="0"/>
                                                  <w:marRight w:val="0"/>
                                                  <w:marTop w:val="0"/>
                                                  <w:marBottom w:val="0"/>
                                                  <w:divBdr>
                                                    <w:top w:val="none" w:sz="0" w:space="0" w:color="auto"/>
                                                    <w:left w:val="none" w:sz="0" w:space="0" w:color="auto"/>
                                                    <w:bottom w:val="none" w:sz="0" w:space="0" w:color="auto"/>
                                                    <w:right w:val="none" w:sz="0" w:space="0" w:color="auto"/>
                                                  </w:divBdr>
                                                  <w:divsChild>
                                                    <w:div w:id="1942030702">
                                                      <w:marLeft w:val="0"/>
                                                      <w:marRight w:val="0"/>
                                                      <w:marTop w:val="0"/>
                                                      <w:marBottom w:val="0"/>
                                                      <w:divBdr>
                                                        <w:top w:val="none" w:sz="0" w:space="0" w:color="auto"/>
                                                        <w:left w:val="none" w:sz="0" w:space="0" w:color="auto"/>
                                                        <w:bottom w:val="none" w:sz="0" w:space="0" w:color="auto"/>
                                                        <w:right w:val="none" w:sz="0" w:space="0" w:color="auto"/>
                                                      </w:divBdr>
                                                      <w:divsChild>
                                                        <w:div w:id="7886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7707869">
      <w:bodyDiv w:val="1"/>
      <w:marLeft w:val="0"/>
      <w:marRight w:val="0"/>
      <w:marTop w:val="0"/>
      <w:marBottom w:val="0"/>
      <w:divBdr>
        <w:top w:val="none" w:sz="0" w:space="0" w:color="auto"/>
        <w:left w:val="none" w:sz="0" w:space="0" w:color="auto"/>
        <w:bottom w:val="none" w:sz="0" w:space="0" w:color="auto"/>
        <w:right w:val="none" w:sz="0" w:space="0" w:color="auto"/>
      </w:divBdr>
    </w:div>
    <w:div w:id="2015642839">
      <w:bodyDiv w:val="1"/>
      <w:marLeft w:val="0"/>
      <w:marRight w:val="0"/>
      <w:marTop w:val="0"/>
      <w:marBottom w:val="0"/>
      <w:divBdr>
        <w:top w:val="none" w:sz="0" w:space="0" w:color="auto"/>
        <w:left w:val="none" w:sz="0" w:space="0" w:color="auto"/>
        <w:bottom w:val="none" w:sz="0" w:space="0" w:color="auto"/>
        <w:right w:val="none" w:sz="0" w:space="0" w:color="auto"/>
      </w:divBdr>
    </w:div>
    <w:div w:id="2057389817">
      <w:bodyDiv w:val="1"/>
      <w:marLeft w:val="0"/>
      <w:marRight w:val="0"/>
      <w:marTop w:val="0"/>
      <w:marBottom w:val="0"/>
      <w:divBdr>
        <w:top w:val="none" w:sz="0" w:space="0" w:color="auto"/>
        <w:left w:val="none" w:sz="0" w:space="0" w:color="auto"/>
        <w:bottom w:val="none" w:sz="0" w:space="0" w:color="auto"/>
        <w:right w:val="none" w:sz="0" w:space="0" w:color="auto"/>
      </w:divBdr>
    </w:div>
    <w:div w:id="212758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file:///H:\web%20posts\g_server:WORK%20IN%20PROGRESS:14010%20PM&amp;C%20Best%20Practice%20Regulation%20Report%202012-13:Word%20templates:cover.pdf" TargetMode="External"/><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ShareHubID xmlns="166541c0-0594-4e6a-9105-c24d4b6de6f7">DOC19-141759</ShareHubID>
    <TaxCatchAll xmlns="166541c0-0594-4e6a-9105-c24d4b6de6f7">
      <Value>1</Value>
      <Value>24</Value>
    </TaxCatchAll>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NEG</TermName>
          <TermId xmlns="http://schemas.microsoft.com/office/infopath/2007/PartnerControls">84922e8b-1ad3-4336-8a0d-222114e7a3ac</TermId>
        </TermInfo>
      </Terms>
    </hc4a8f51d7584793bcee84017ea96cb3>
    <PMCNotes xmlns="166541c0-0594-4e6a-9105-c24d4b6de6f7" xsi:nil="true"/>
    <NonRecordJustification xmlns="685f9fda-bd71-4433-b331-92feb9553089">None</NonRecordJust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MC Document" ma:contentTypeID="0x0101002825A64A6E1845A99A9D8EE8A5686ECB009B58D7D72C3ED54C851955501673F8AC" ma:contentTypeVersion="11" ma:contentTypeDescription="PMC Document" ma:contentTypeScope="" ma:versionID="dce88d5783c8e6ea69d4384014b5f83d">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35b41bab6e866c3568f1ad78d1998483"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8D892-554E-4ECE-8225-D2DE8BFFC44B}">
  <ds:schemaRefs>
    <ds:schemaRef ds:uri="http://schemas.microsoft.com/office/2006/metadata/longProperties"/>
  </ds:schemaRefs>
</ds:datastoreItem>
</file>

<file path=customXml/itemProps2.xml><?xml version="1.0" encoding="utf-8"?>
<ds:datastoreItem xmlns:ds="http://schemas.openxmlformats.org/officeDocument/2006/customXml" ds:itemID="{534EF19E-9233-45C3-BBFB-50FE7611C940}">
  <ds:schemaRefs>
    <ds:schemaRef ds:uri="http://schemas.microsoft.com/office/2006/metadata/properties"/>
    <ds:schemaRef ds:uri="http://schemas.microsoft.com/office/infopath/2007/PartnerControls"/>
    <ds:schemaRef ds:uri="166541c0-0594-4e6a-9105-c24d4b6de6f7"/>
    <ds:schemaRef ds:uri="685f9fda-bd71-4433-b331-92feb9553089"/>
  </ds:schemaRefs>
</ds:datastoreItem>
</file>

<file path=customXml/itemProps3.xml><?xml version="1.0" encoding="utf-8"?>
<ds:datastoreItem xmlns:ds="http://schemas.openxmlformats.org/officeDocument/2006/customXml" ds:itemID="{E11E5850-5EA0-44A8-99C7-AD4BDABDBB47}">
  <ds:schemaRefs>
    <ds:schemaRef ds:uri="http://schemas.microsoft.com/sharepoint/v3/contenttype/forms"/>
  </ds:schemaRefs>
</ds:datastoreItem>
</file>

<file path=customXml/itemProps4.xml><?xml version="1.0" encoding="utf-8"?>
<ds:datastoreItem xmlns:ds="http://schemas.openxmlformats.org/officeDocument/2006/customXml" ds:itemID="{E000805E-103C-445B-8CBB-E1B7640A8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927B34-CFAA-4F4E-AD1B-089E17E55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1869</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COAG Regulation Impact Statement status: 2018-19</vt:lpstr>
    </vt:vector>
  </TitlesOfParts>
  <LinksUpToDate>false</LinksUpToDate>
  <CharactersWithSpaces>12499</CharactersWithSpaces>
  <SharedDoc>false</SharedDoc>
  <HLinks>
    <vt:vector size="72" baseType="variant">
      <vt:variant>
        <vt:i4>1376317</vt:i4>
      </vt:variant>
      <vt:variant>
        <vt:i4>62</vt:i4>
      </vt:variant>
      <vt:variant>
        <vt:i4>0</vt:i4>
      </vt:variant>
      <vt:variant>
        <vt:i4>5</vt:i4>
      </vt:variant>
      <vt:variant>
        <vt:lpwstr/>
      </vt:variant>
      <vt:variant>
        <vt:lpwstr>_Toc513735813</vt:lpwstr>
      </vt:variant>
      <vt:variant>
        <vt:i4>1376317</vt:i4>
      </vt:variant>
      <vt:variant>
        <vt:i4>56</vt:i4>
      </vt:variant>
      <vt:variant>
        <vt:i4>0</vt:i4>
      </vt:variant>
      <vt:variant>
        <vt:i4>5</vt:i4>
      </vt:variant>
      <vt:variant>
        <vt:lpwstr/>
      </vt:variant>
      <vt:variant>
        <vt:lpwstr>_Toc513735812</vt:lpwstr>
      </vt:variant>
      <vt:variant>
        <vt:i4>1376317</vt:i4>
      </vt:variant>
      <vt:variant>
        <vt:i4>50</vt:i4>
      </vt:variant>
      <vt:variant>
        <vt:i4>0</vt:i4>
      </vt:variant>
      <vt:variant>
        <vt:i4>5</vt:i4>
      </vt:variant>
      <vt:variant>
        <vt:lpwstr/>
      </vt:variant>
      <vt:variant>
        <vt:lpwstr>_Toc513735811</vt:lpwstr>
      </vt:variant>
      <vt:variant>
        <vt:i4>1376317</vt:i4>
      </vt:variant>
      <vt:variant>
        <vt:i4>44</vt:i4>
      </vt:variant>
      <vt:variant>
        <vt:i4>0</vt:i4>
      </vt:variant>
      <vt:variant>
        <vt:i4>5</vt:i4>
      </vt:variant>
      <vt:variant>
        <vt:lpwstr/>
      </vt:variant>
      <vt:variant>
        <vt:lpwstr>_Toc513735810</vt:lpwstr>
      </vt:variant>
      <vt:variant>
        <vt:i4>1310781</vt:i4>
      </vt:variant>
      <vt:variant>
        <vt:i4>38</vt:i4>
      </vt:variant>
      <vt:variant>
        <vt:i4>0</vt:i4>
      </vt:variant>
      <vt:variant>
        <vt:i4>5</vt:i4>
      </vt:variant>
      <vt:variant>
        <vt:lpwstr/>
      </vt:variant>
      <vt:variant>
        <vt:lpwstr>_Toc513735809</vt:lpwstr>
      </vt:variant>
      <vt:variant>
        <vt:i4>1310781</vt:i4>
      </vt:variant>
      <vt:variant>
        <vt:i4>32</vt:i4>
      </vt:variant>
      <vt:variant>
        <vt:i4>0</vt:i4>
      </vt:variant>
      <vt:variant>
        <vt:i4>5</vt:i4>
      </vt:variant>
      <vt:variant>
        <vt:lpwstr/>
      </vt:variant>
      <vt:variant>
        <vt:lpwstr>_Toc513735808</vt:lpwstr>
      </vt:variant>
      <vt:variant>
        <vt:i4>1310781</vt:i4>
      </vt:variant>
      <vt:variant>
        <vt:i4>26</vt:i4>
      </vt:variant>
      <vt:variant>
        <vt:i4>0</vt:i4>
      </vt:variant>
      <vt:variant>
        <vt:i4>5</vt:i4>
      </vt:variant>
      <vt:variant>
        <vt:lpwstr/>
      </vt:variant>
      <vt:variant>
        <vt:lpwstr>_Toc513735807</vt:lpwstr>
      </vt:variant>
      <vt:variant>
        <vt:i4>1310781</vt:i4>
      </vt:variant>
      <vt:variant>
        <vt:i4>20</vt:i4>
      </vt:variant>
      <vt:variant>
        <vt:i4>0</vt:i4>
      </vt:variant>
      <vt:variant>
        <vt:i4>5</vt:i4>
      </vt:variant>
      <vt:variant>
        <vt:lpwstr/>
      </vt:variant>
      <vt:variant>
        <vt:lpwstr>_Toc513735806</vt:lpwstr>
      </vt:variant>
      <vt:variant>
        <vt:i4>1310781</vt:i4>
      </vt:variant>
      <vt:variant>
        <vt:i4>14</vt:i4>
      </vt:variant>
      <vt:variant>
        <vt:i4>0</vt:i4>
      </vt:variant>
      <vt:variant>
        <vt:i4>5</vt:i4>
      </vt:variant>
      <vt:variant>
        <vt:lpwstr/>
      </vt:variant>
      <vt:variant>
        <vt:lpwstr>_Toc513735805</vt:lpwstr>
      </vt:variant>
      <vt:variant>
        <vt:i4>1310781</vt:i4>
      </vt:variant>
      <vt:variant>
        <vt:i4>8</vt:i4>
      </vt:variant>
      <vt:variant>
        <vt:i4>0</vt:i4>
      </vt:variant>
      <vt:variant>
        <vt:i4>5</vt:i4>
      </vt:variant>
      <vt:variant>
        <vt:lpwstr/>
      </vt:variant>
      <vt:variant>
        <vt:lpwstr>_Toc513735804</vt:lpwstr>
      </vt:variant>
      <vt:variant>
        <vt:i4>1310781</vt:i4>
      </vt:variant>
      <vt:variant>
        <vt:i4>2</vt:i4>
      </vt:variant>
      <vt:variant>
        <vt:i4>0</vt:i4>
      </vt:variant>
      <vt:variant>
        <vt:i4>5</vt:i4>
      </vt:variant>
      <vt:variant>
        <vt:lpwstr/>
      </vt:variant>
      <vt:variant>
        <vt:lpwstr>_Toc513735803</vt:lpwstr>
      </vt:variant>
      <vt:variant>
        <vt:i4>3735622</vt:i4>
      </vt:variant>
      <vt:variant>
        <vt:i4>-1</vt:i4>
      </vt:variant>
      <vt:variant>
        <vt:i4>2049</vt:i4>
      </vt:variant>
      <vt:variant>
        <vt:i4>1</vt:i4>
      </vt:variant>
      <vt:variant>
        <vt:lpwstr>g_server:WORK IN PROGRESS:14010 PM&amp;C Best Practice Regulation Report 2012-13:Word templates:cover.pdf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COAG Regulation Impact Statement status: 2018-19</dc:title>
  <dc:subject/>
  <dc:creator/>
  <cp:keywords/>
  <cp:lastModifiedBy/>
  <cp:revision>1</cp:revision>
  <dcterms:created xsi:type="dcterms:W3CDTF">2019-09-26T06:52:00Z</dcterms:created>
  <dcterms:modified xsi:type="dcterms:W3CDTF">2019-09-27T03:16:00Z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1;#UNCLASSIFIED|9c49a7c7-17c7-412f-8077-62dec89b9196</vt:lpwstr>
  </property>
  <property fmtid="{D5CDD505-2E9C-101B-9397-08002B2CF9AE}" pid="3" name="ContentTypeId">
    <vt:lpwstr>0x0101002825A64A6E1845A99A9D8EE8A5686ECB009B58D7D72C3ED54C851955501673F8AC</vt:lpwstr>
  </property>
  <property fmtid="{D5CDD505-2E9C-101B-9397-08002B2CF9AE}" pid="4" name="ESearchTags">
    <vt:lpwstr>24;#NEG|84922e8b-1ad3-4336-8a0d-222114e7a3ac</vt:lpwstr>
  </property>
  <property fmtid="{D5CDD505-2E9C-101B-9397-08002B2CF9AE}" pid="5" name="PMC.ESearch.TagGeneratedTime">
    <vt:lpwstr>2019-04-23T14:22:17</vt:lpwstr>
  </property>
  <property fmtid="{D5CDD505-2E9C-101B-9397-08002B2CF9AE}" pid="6" name="HPRMSecurityCaveat">
    <vt:lpwstr/>
  </property>
</Properties>
</file>